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928FF" w14:textId="73BEA305" w:rsidR="00986A46" w:rsidRDefault="00AC4183" w:rsidP="005913E9">
      <w:pPr>
        <w:pStyle w:val="Factsheettitle"/>
        <w:spacing w:before="1440"/>
      </w:pPr>
      <w:r>
        <w:t>Guidance</w:t>
      </w:r>
      <w:r w:rsidR="00FA6574">
        <w:t xml:space="preserve"> Note</w:t>
      </w:r>
      <w:r>
        <w:t xml:space="preserve"> 1</w:t>
      </w:r>
      <w:r w:rsidR="00A41D7D">
        <w:t>5</w:t>
      </w:r>
    </w:p>
    <w:p w14:paraId="57C7AEEB" w14:textId="29664C7D" w:rsidR="00AC4183" w:rsidRPr="006E76BE" w:rsidRDefault="00C103C1" w:rsidP="005913E9">
      <w:pPr>
        <w:pStyle w:val="Heading1"/>
        <w:spacing w:line="240" w:lineRule="auto"/>
      </w:pPr>
      <w:bookmarkStart w:id="0" w:name="_Toc137552188"/>
      <w:bookmarkStart w:id="1" w:name="_Toc138662704"/>
      <w:bookmarkStart w:id="2" w:name="_Toc138751466"/>
      <w:bookmarkStart w:id="3" w:name="_Toc140150184"/>
      <w:r>
        <w:t>Register of Foreign Ownership of Australian Assets</w:t>
      </w:r>
      <w:bookmarkEnd w:id="0"/>
      <w:bookmarkEnd w:id="1"/>
      <w:bookmarkEnd w:id="2"/>
      <w:bookmarkEnd w:id="3"/>
      <w:r>
        <w:t xml:space="preserve"> </w:t>
      </w:r>
    </w:p>
    <w:p w14:paraId="58C1CE7A" w14:textId="77777777" w:rsidR="00F12DDA" w:rsidRDefault="00F12DDA" w:rsidP="005913E9"/>
    <w:p w14:paraId="578ADF89" w14:textId="69EC2519" w:rsidR="00146CB3" w:rsidRDefault="00146CB3" w:rsidP="005913E9">
      <w:pPr>
        <w:pStyle w:val="Bullet"/>
        <w:spacing w:line="240" w:lineRule="auto"/>
      </w:pPr>
      <w:r w:rsidRPr="00146CB3">
        <w:t xml:space="preserve">The information provided in this </w:t>
      </w:r>
      <w:r w:rsidR="002979AC">
        <w:t>G</w:t>
      </w:r>
      <w:r w:rsidRPr="00146CB3">
        <w:t xml:space="preserve">uidance </w:t>
      </w:r>
      <w:r w:rsidR="002979AC">
        <w:t>N</w:t>
      </w:r>
      <w:r w:rsidRPr="00146CB3">
        <w:t xml:space="preserve">ote is general advice and you should take your </w:t>
      </w:r>
      <w:proofErr w:type="gramStart"/>
      <w:r w:rsidRPr="00146CB3">
        <w:t>particular circumstances</w:t>
      </w:r>
      <w:proofErr w:type="gramEnd"/>
      <w:r w:rsidRPr="00146CB3">
        <w:t xml:space="preserve"> into account when determining how the law applies to you.</w:t>
      </w:r>
    </w:p>
    <w:p w14:paraId="108149B7" w14:textId="0DF8FD35" w:rsidR="00BF2F24" w:rsidRPr="00BF2F24" w:rsidRDefault="00BF2F24" w:rsidP="005913E9">
      <w:pPr>
        <w:pStyle w:val="Bullet"/>
        <w:tabs>
          <w:tab w:val="num" w:pos="142"/>
        </w:tabs>
        <w:spacing w:line="240" w:lineRule="auto"/>
        <w:ind w:left="142" w:hanging="142"/>
      </w:pPr>
      <w:r w:rsidRPr="00BF2F24">
        <w:t xml:space="preserve">Foreign persons must give notice of </w:t>
      </w:r>
      <w:r w:rsidR="00A90EA3">
        <w:t xml:space="preserve">certain </w:t>
      </w:r>
      <w:r w:rsidRPr="00BF2F24">
        <w:t xml:space="preserve">actions </w:t>
      </w:r>
      <w:r w:rsidR="00C35FB9">
        <w:t>relating to</w:t>
      </w:r>
      <w:r w:rsidRPr="00BF2F24">
        <w:t xml:space="preserve"> Australian land, water, entities, businesses and other assets</w:t>
      </w:r>
      <w:r w:rsidR="009D1D8A">
        <w:t xml:space="preserve"> </w:t>
      </w:r>
      <w:r w:rsidR="009D1D8A" w:rsidRPr="00BF2F24">
        <w:t>to the Registrar of the Register of Foreign Ownership of Australian Assets</w:t>
      </w:r>
      <w:r w:rsidR="009F7310">
        <w:t>.</w:t>
      </w:r>
    </w:p>
    <w:p w14:paraId="36A5860E" w14:textId="77777777" w:rsidR="00A628F8" w:rsidRDefault="003449E1" w:rsidP="00A628F8">
      <w:pPr>
        <w:pStyle w:val="Bullet"/>
        <w:tabs>
          <w:tab w:val="num" w:pos="142"/>
        </w:tabs>
        <w:spacing w:line="240" w:lineRule="auto"/>
        <w:ind w:left="142" w:hanging="142"/>
      </w:pPr>
      <w:r w:rsidRPr="003449E1">
        <w:t>Register notices must generally be given within 30 days of the day on which</w:t>
      </w:r>
      <w:r w:rsidR="00A628F8">
        <w:t>:</w:t>
      </w:r>
    </w:p>
    <w:p w14:paraId="4135BB43" w14:textId="6B7A79D9" w:rsidR="00334556" w:rsidRDefault="00334556" w:rsidP="00DA17AC">
      <w:pPr>
        <w:pStyle w:val="Dash"/>
      </w:pPr>
      <w:r w:rsidRPr="00334556">
        <w:t>a foreign person acquires a relevant interest</w:t>
      </w:r>
      <w:r w:rsidR="00823F37">
        <w:t xml:space="preserve"> or otherwise takes an action</w:t>
      </w:r>
      <w:r w:rsidRPr="00334556">
        <w:t>, or</w:t>
      </w:r>
    </w:p>
    <w:p w14:paraId="1210353B" w14:textId="0A69C8D7" w:rsidR="00A628F8" w:rsidRDefault="00A628F8" w:rsidP="00DA17AC">
      <w:pPr>
        <w:pStyle w:val="Dash"/>
      </w:pPr>
      <w:r>
        <w:t>a person becomes a foreign person while holding a relevant interest, or</w:t>
      </w:r>
    </w:p>
    <w:p w14:paraId="24F536D1" w14:textId="0E01D351" w:rsidR="00A628F8" w:rsidRDefault="00A628F8" w:rsidP="00DA17AC">
      <w:pPr>
        <w:pStyle w:val="Dash"/>
      </w:pPr>
      <w:r>
        <w:t>there is a change to a registered circumstance</w:t>
      </w:r>
      <w:r w:rsidR="00424ACC">
        <w:t xml:space="preserve"> (for example, because a foreign person </w:t>
      </w:r>
      <w:r w:rsidR="00215CBB">
        <w:t xml:space="preserve">ceases to hold a relevant interest or </w:t>
      </w:r>
      <w:r w:rsidR="00C06ADC">
        <w:t xml:space="preserve">a person </w:t>
      </w:r>
      <w:r w:rsidR="00215CBB">
        <w:t>ceases to be a foreign person)</w:t>
      </w:r>
      <w:r w:rsidR="00894650">
        <w:t>, or</w:t>
      </w:r>
    </w:p>
    <w:p w14:paraId="2A17A91D" w14:textId="61F7D26B" w:rsidR="00894650" w:rsidRDefault="00894650" w:rsidP="00DA17AC">
      <w:pPr>
        <w:pStyle w:val="Dash"/>
      </w:pPr>
      <w:r>
        <w:t xml:space="preserve">there is a change </w:t>
      </w:r>
      <w:proofErr w:type="gramStart"/>
      <w:r>
        <w:t>in the nature of an</w:t>
      </w:r>
      <w:proofErr w:type="gramEnd"/>
      <w:r>
        <w:t xml:space="preserve"> interest in land or an exploration tenement, or</w:t>
      </w:r>
    </w:p>
    <w:p w14:paraId="51A7278F" w14:textId="33BE14C0" w:rsidR="00894650" w:rsidRDefault="00894650" w:rsidP="00DA17AC">
      <w:pPr>
        <w:pStyle w:val="Dash"/>
      </w:pPr>
      <w:r>
        <w:t>there is a change in certain characteristics of a registrable water interest</w:t>
      </w:r>
      <w:r w:rsidR="00D278D4">
        <w:t>, or</w:t>
      </w:r>
    </w:p>
    <w:p w14:paraId="0811A734" w14:textId="4CCA68AB" w:rsidR="00D278D4" w:rsidRPr="00334556" w:rsidRDefault="00D278D4" w:rsidP="00DA17AC">
      <w:pPr>
        <w:pStyle w:val="Dash"/>
      </w:pPr>
      <w:r>
        <w:t>there is a change in size of an interest in an entity or business</w:t>
      </w:r>
      <w:r w:rsidR="00BA0680">
        <w:t>.</w:t>
      </w:r>
    </w:p>
    <w:p w14:paraId="56F21A2A" w14:textId="1724F9F5" w:rsidR="00491DF6" w:rsidRPr="00491DF6" w:rsidRDefault="00491DF6" w:rsidP="005913E9">
      <w:pPr>
        <w:pStyle w:val="Bullet"/>
        <w:tabs>
          <w:tab w:val="num" w:pos="142"/>
        </w:tabs>
        <w:spacing w:line="240" w:lineRule="auto"/>
        <w:ind w:left="142" w:hanging="142"/>
      </w:pPr>
      <w:r w:rsidRPr="00491DF6">
        <w:t>The Commissioner of Taxation</w:t>
      </w:r>
      <w:r w:rsidR="0005153C">
        <w:t xml:space="preserve"> is the Registrar</w:t>
      </w:r>
      <w:r w:rsidRPr="00491DF6">
        <w:t xml:space="preserve">. You can give a register notice through </w:t>
      </w:r>
      <w:hyperlink r:id="rId7" w:history="1">
        <w:r w:rsidRPr="00CB1CD3">
          <w:rPr>
            <w:rStyle w:val="Hyperlink"/>
          </w:rPr>
          <w:t>Online services for foreign investors</w:t>
        </w:r>
      </w:hyperlink>
      <w:r w:rsidRPr="00491DF6">
        <w:t xml:space="preserve">, which includes </w:t>
      </w:r>
      <w:r w:rsidR="00617C44">
        <w:t>details about</w:t>
      </w:r>
      <w:r w:rsidRPr="00491DF6">
        <w:t xml:space="preserve"> the information you must provide.</w:t>
      </w:r>
    </w:p>
    <w:p w14:paraId="08468985" w14:textId="3E852C7F" w:rsidR="00DE2889" w:rsidRPr="00DE2889" w:rsidRDefault="00DE2889" w:rsidP="005913E9">
      <w:pPr>
        <w:pStyle w:val="Bullet"/>
        <w:tabs>
          <w:tab w:val="num" w:pos="142"/>
        </w:tabs>
        <w:spacing w:line="240" w:lineRule="auto"/>
        <w:ind w:left="142" w:hanging="142"/>
      </w:pPr>
      <w:r w:rsidRPr="00DE2889">
        <w:t xml:space="preserve">The information on the Register is not public and can only be used, recorded or disclosed consistently with the protected information provisions of the </w:t>
      </w:r>
      <w:r w:rsidRPr="00836F8F">
        <w:rPr>
          <w:i/>
          <w:iCs/>
        </w:rPr>
        <w:t>Foreign Acquisitions and Takeovers Act 1975</w:t>
      </w:r>
      <w:r w:rsidR="00E6227A">
        <w:t xml:space="preserve"> and other relevant legal requirements. </w:t>
      </w:r>
    </w:p>
    <w:p w14:paraId="486A450F" w14:textId="4D40A6E7" w:rsidR="0058117C" w:rsidRPr="0058117C" w:rsidRDefault="0058117C" w:rsidP="005913E9">
      <w:pPr>
        <w:pStyle w:val="Bullet"/>
        <w:tabs>
          <w:tab w:val="num" w:pos="142"/>
        </w:tabs>
        <w:spacing w:line="240" w:lineRule="auto"/>
        <w:ind w:left="142" w:hanging="142"/>
      </w:pPr>
      <w:r w:rsidRPr="0058117C">
        <w:t>Foreign persons must make records relating to register notices and keep those records for 5</w:t>
      </w:r>
      <w:r w:rsidR="00DA17AC">
        <w:t> </w:t>
      </w:r>
      <w:r w:rsidRPr="0058117C">
        <w:t xml:space="preserve">years. </w:t>
      </w:r>
    </w:p>
    <w:p w14:paraId="23A958F8" w14:textId="64A6D154" w:rsidR="00932763" w:rsidRDefault="00932763" w:rsidP="005913E9">
      <w:pPr>
        <w:spacing w:before="0" w:after="0"/>
        <w:rPr>
          <w:rFonts w:asciiTheme="minorHAnsi" w:eastAsiaTheme="minorHAnsi" w:hAnsiTheme="minorHAnsi" w:cstheme="minorBidi"/>
          <w:b/>
          <w:noProof/>
          <w:szCs w:val="22"/>
          <w:lang w:eastAsia="en-US"/>
        </w:rPr>
      </w:pPr>
      <w:r>
        <w:rPr>
          <w:b/>
        </w:rPr>
        <w:br w:type="page"/>
      </w:r>
    </w:p>
    <w:sdt>
      <w:sdtPr>
        <w:rPr>
          <w:b/>
        </w:rPr>
        <w:id w:val="576948073"/>
        <w:docPartObj>
          <w:docPartGallery w:val="Table of Contents"/>
          <w:docPartUnique/>
        </w:docPartObj>
      </w:sdtPr>
      <w:sdtEndPr>
        <w:rPr>
          <w:b w:val="0"/>
          <w:bCs/>
        </w:rPr>
      </w:sdtEndPr>
      <w:sdtContent>
        <w:p w14:paraId="44B2CFC6" w14:textId="19B5CFA1" w:rsidR="004C25F2" w:rsidRDefault="00494943">
          <w:pPr>
            <w:pStyle w:val="TOC1"/>
            <w:rPr>
              <w:rFonts w:eastAsiaTheme="minorEastAsia"/>
              <w:lang w:eastAsia="en-AU"/>
            </w:rPr>
          </w:pPr>
          <w:r w:rsidRPr="002C4C4B">
            <w:rPr>
              <w:rFonts w:ascii="Calibri Light" w:hAnsi="Calibri Light" w:cs="Calibri Light"/>
              <w:color w:val="5F5F5F" w:themeColor="text2"/>
              <w:sz w:val="32"/>
              <w:szCs w:val="32"/>
            </w:rPr>
            <w:t>Looking for more?</w:t>
          </w:r>
          <w:r w:rsidRPr="002C4C4B">
            <w:rPr>
              <w:rFonts w:ascii="Calibri Light" w:eastAsia="Times New Roman" w:hAnsi="Calibri Light" w:cs="Calibri Light"/>
              <w:b/>
              <w:noProof w:val="0"/>
              <w:color w:val="000000" w:themeColor="text1"/>
              <w:kern w:val="32"/>
              <w:sz w:val="24"/>
              <w:szCs w:val="24"/>
              <w:lang w:eastAsia="en-AU"/>
            </w:rPr>
            <w:fldChar w:fldCharType="begin"/>
          </w:r>
          <w:r w:rsidRPr="002C4C4B">
            <w:rPr>
              <w:rFonts w:ascii="Calibri Light" w:hAnsi="Calibri Light" w:cs="Calibri Light"/>
            </w:rPr>
            <w:instrText xml:space="preserve"> TOC \o "1-2" \h \z \u </w:instrText>
          </w:r>
          <w:r w:rsidRPr="002C4C4B">
            <w:rPr>
              <w:rFonts w:ascii="Calibri Light" w:eastAsia="Times New Roman" w:hAnsi="Calibri Light" w:cs="Calibri Light"/>
              <w:b/>
              <w:noProof w:val="0"/>
              <w:color w:val="000000" w:themeColor="text1"/>
              <w:kern w:val="32"/>
              <w:sz w:val="24"/>
              <w:szCs w:val="24"/>
              <w:lang w:eastAsia="en-AU"/>
            </w:rPr>
            <w:fldChar w:fldCharType="separate"/>
          </w:r>
        </w:p>
        <w:p w14:paraId="1AD9A9C9" w14:textId="1FD61077" w:rsidR="004C25F2" w:rsidRPr="00C25C42" w:rsidRDefault="004C25F2">
          <w:pPr>
            <w:pStyle w:val="TOC2"/>
            <w:rPr>
              <w:rFonts w:ascii="Calibri Light" w:eastAsiaTheme="minorEastAsia" w:hAnsi="Calibri Light" w:cs="Calibri Light"/>
              <w:lang w:eastAsia="en-AU"/>
            </w:rPr>
          </w:pPr>
          <w:hyperlink w:anchor="_Toc140150185" w:history="1">
            <w:r w:rsidRPr="00C25C42">
              <w:rPr>
                <w:rStyle w:val="Hyperlink"/>
                <w:rFonts w:ascii="Calibri Light" w:hAnsi="Calibri Light" w:cs="Calibri Light"/>
              </w:rPr>
              <w:t>A: Who is required to give register notices?</w:t>
            </w:r>
            <w:r w:rsidRPr="00C25C42">
              <w:rPr>
                <w:rFonts w:ascii="Calibri Light" w:hAnsi="Calibri Light" w:cs="Calibri Light"/>
                <w:webHidden/>
              </w:rPr>
              <w:tab/>
            </w:r>
            <w:r w:rsidRPr="00C25C42">
              <w:rPr>
                <w:rFonts w:ascii="Calibri Light" w:hAnsi="Calibri Light" w:cs="Calibri Light"/>
                <w:webHidden/>
              </w:rPr>
              <w:fldChar w:fldCharType="begin"/>
            </w:r>
            <w:r w:rsidRPr="00C25C42">
              <w:rPr>
                <w:rFonts w:ascii="Calibri Light" w:hAnsi="Calibri Light" w:cs="Calibri Light"/>
                <w:webHidden/>
              </w:rPr>
              <w:instrText xml:space="preserve"> PAGEREF _Toc140150185 \h </w:instrText>
            </w:r>
            <w:r w:rsidRPr="00C25C42">
              <w:rPr>
                <w:rFonts w:ascii="Calibri Light" w:hAnsi="Calibri Light" w:cs="Calibri Light"/>
                <w:webHidden/>
              </w:rPr>
            </w:r>
            <w:r w:rsidRPr="00C25C42">
              <w:rPr>
                <w:rFonts w:ascii="Calibri Light" w:hAnsi="Calibri Light" w:cs="Calibri Light"/>
                <w:webHidden/>
              </w:rPr>
              <w:fldChar w:fldCharType="separate"/>
            </w:r>
            <w:r w:rsidR="000A05CD">
              <w:rPr>
                <w:rFonts w:ascii="Calibri Light" w:hAnsi="Calibri Light" w:cs="Calibri Light"/>
                <w:webHidden/>
              </w:rPr>
              <w:t>3</w:t>
            </w:r>
            <w:r w:rsidRPr="00C25C42">
              <w:rPr>
                <w:rFonts w:ascii="Calibri Light" w:hAnsi="Calibri Light" w:cs="Calibri Light"/>
                <w:webHidden/>
              </w:rPr>
              <w:fldChar w:fldCharType="end"/>
            </w:r>
          </w:hyperlink>
        </w:p>
        <w:p w14:paraId="2B53491B" w14:textId="45453B1A" w:rsidR="004C25F2" w:rsidRPr="00C25C42" w:rsidRDefault="004C25F2">
          <w:pPr>
            <w:pStyle w:val="TOC2"/>
            <w:rPr>
              <w:rFonts w:ascii="Calibri Light" w:eastAsiaTheme="minorEastAsia" w:hAnsi="Calibri Light" w:cs="Calibri Light"/>
              <w:lang w:eastAsia="en-AU"/>
            </w:rPr>
          </w:pPr>
          <w:hyperlink w:anchor="_Toc140150186" w:history="1">
            <w:r w:rsidRPr="00C25C42">
              <w:rPr>
                <w:rStyle w:val="Hyperlink"/>
                <w:rFonts w:ascii="Calibri Light" w:hAnsi="Calibri Light" w:cs="Calibri Light"/>
              </w:rPr>
              <w:t>B: Why do register notices need to be given?</w:t>
            </w:r>
            <w:r w:rsidRPr="00C25C42">
              <w:rPr>
                <w:rFonts w:ascii="Calibri Light" w:hAnsi="Calibri Light" w:cs="Calibri Light"/>
                <w:webHidden/>
              </w:rPr>
              <w:tab/>
            </w:r>
            <w:r w:rsidRPr="00C25C42">
              <w:rPr>
                <w:rFonts w:ascii="Calibri Light" w:hAnsi="Calibri Light" w:cs="Calibri Light"/>
                <w:webHidden/>
              </w:rPr>
              <w:fldChar w:fldCharType="begin"/>
            </w:r>
            <w:r w:rsidRPr="00C25C42">
              <w:rPr>
                <w:rFonts w:ascii="Calibri Light" w:hAnsi="Calibri Light" w:cs="Calibri Light"/>
                <w:webHidden/>
              </w:rPr>
              <w:instrText xml:space="preserve"> PAGEREF _Toc140150186 \h </w:instrText>
            </w:r>
            <w:r w:rsidRPr="00C25C42">
              <w:rPr>
                <w:rFonts w:ascii="Calibri Light" w:hAnsi="Calibri Light" w:cs="Calibri Light"/>
                <w:webHidden/>
              </w:rPr>
            </w:r>
            <w:r w:rsidRPr="00C25C42">
              <w:rPr>
                <w:rFonts w:ascii="Calibri Light" w:hAnsi="Calibri Light" w:cs="Calibri Light"/>
                <w:webHidden/>
              </w:rPr>
              <w:fldChar w:fldCharType="separate"/>
            </w:r>
            <w:r w:rsidR="000A05CD">
              <w:rPr>
                <w:rFonts w:ascii="Calibri Light" w:hAnsi="Calibri Light" w:cs="Calibri Light"/>
                <w:webHidden/>
              </w:rPr>
              <w:t>3</w:t>
            </w:r>
            <w:r w:rsidRPr="00C25C42">
              <w:rPr>
                <w:rFonts w:ascii="Calibri Light" w:hAnsi="Calibri Light" w:cs="Calibri Light"/>
                <w:webHidden/>
              </w:rPr>
              <w:fldChar w:fldCharType="end"/>
            </w:r>
          </w:hyperlink>
        </w:p>
        <w:p w14:paraId="3528566B" w14:textId="2026E7CD" w:rsidR="004C25F2" w:rsidRPr="00C25C42" w:rsidRDefault="004C25F2">
          <w:pPr>
            <w:pStyle w:val="TOC2"/>
            <w:rPr>
              <w:rFonts w:ascii="Calibri Light" w:eastAsiaTheme="minorEastAsia" w:hAnsi="Calibri Light" w:cs="Calibri Light"/>
              <w:lang w:eastAsia="en-AU"/>
            </w:rPr>
          </w:pPr>
          <w:hyperlink w:anchor="_Toc140150187" w:history="1">
            <w:r w:rsidRPr="00C25C42">
              <w:rPr>
                <w:rStyle w:val="Hyperlink"/>
                <w:rFonts w:ascii="Calibri Light" w:hAnsi="Calibri Light" w:cs="Calibri Light"/>
              </w:rPr>
              <w:t>C: Circumstances in which register notices must be given</w:t>
            </w:r>
            <w:r w:rsidRPr="00C25C42">
              <w:rPr>
                <w:rFonts w:ascii="Calibri Light" w:hAnsi="Calibri Light" w:cs="Calibri Light"/>
                <w:webHidden/>
              </w:rPr>
              <w:tab/>
            </w:r>
            <w:r w:rsidRPr="00C25C42">
              <w:rPr>
                <w:rFonts w:ascii="Calibri Light" w:hAnsi="Calibri Light" w:cs="Calibri Light"/>
                <w:webHidden/>
              </w:rPr>
              <w:fldChar w:fldCharType="begin"/>
            </w:r>
            <w:r w:rsidRPr="00C25C42">
              <w:rPr>
                <w:rFonts w:ascii="Calibri Light" w:hAnsi="Calibri Light" w:cs="Calibri Light"/>
                <w:webHidden/>
              </w:rPr>
              <w:instrText xml:space="preserve"> PAGEREF _Toc140150187 \h </w:instrText>
            </w:r>
            <w:r w:rsidRPr="00C25C42">
              <w:rPr>
                <w:rFonts w:ascii="Calibri Light" w:hAnsi="Calibri Light" w:cs="Calibri Light"/>
                <w:webHidden/>
              </w:rPr>
            </w:r>
            <w:r w:rsidRPr="00C25C42">
              <w:rPr>
                <w:rFonts w:ascii="Calibri Light" w:hAnsi="Calibri Light" w:cs="Calibri Light"/>
                <w:webHidden/>
              </w:rPr>
              <w:fldChar w:fldCharType="separate"/>
            </w:r>
            <w:r w:rsidR="000A05CD">
              <w:rPr>
                <w:rFonts w:ascii="Calibri Light" w:hAnsi="Calibri Light" w:cs="Calibri Light"/>
                <w:webHidden/>
              </w:rPr>
              <w:t>3</w:t>
            </w:r>
            <w:r w:rsidRPr="00C25C42">
              <w:rPr>
                <w:rFonts w:ascii="Calibri Light" w:hAnsi="Calibri Light" w:cs="Calibri Light"/>
                <w:webHidden/>
              </w:rPr>
              <w:fldChar w:fldCharType="end"/>
            </w:r>
          </w:hyperlink>
        </w:p>
        <w:p w14:paraId="678816E4" w14:textId="09050E8E" w:rsidR="004C25F2" w:rsidRPr="00C25C42" w:rsidRDefault="004C25F2">
          <w:pPr>
            <w:pStyle w:val="TOC2"/>
            <w:rPr>
              <w:rFonts w:ascii="Calibri Light" w:eastAsiaTheme="minorEastAsia" w:hAnsi="Calibri Light" w:cs="Calibri Light"/>
              <w:lang w:eastAsia="en-AU"/>
            </w:rPr>
          </w:pPr>
          <w:hyperlink w:anchor="_Toc140150188" w:history="1">
            <w:r w:rsidRPr="00C25C42">
              <w:rPr>
                <w:rStyle w:val="Hyperlink"/>
                <w:rFonts w:ascii="Calibri Light" w:hAnsi="Calibri Light" w:cs="Calibri Light"/>
              </w:rPr>
              <w:t>D: When register notices are due</w:t>
            </w:r>
            <w:r w:rsidRPr="00C25C42">
              <w:rPr>
                <w:rFonts w:ascii="Calibri Light" w:hAnsi="Calibri Light" w:cs="Calibri Light"/>
                <w:webHidden/>
              </w:rPr>
              <w:tab/>
            </w:r>
            <w:r w:rsidRPr="00C25C42">
              <w:rPr>
                <w:rFonts w:ascii="Calibri Light" w:hAnsi="Calibri Light" w:cs="Calibri Light"/>
                <w:webHidden/>
              </w:rPr>
              <w:fldChar w:fldCharType="begin"/>
            </w:r>
            <w:r w:rsidRPr="00C25C42">
              <w:rPr>
                <w:rFonts w:ascii="Calibri Light" w:hAnsi="Calibri Light" w:cs="Calibri Light"/>
                <w:webHidden/>
              </w:rPr>
              <w:instrText xml:space="preserve"> PAGEREF _Toc140150188 \h </w:instrText>
            </w:r>
            <w:r w:rsidRPr="00C25C42">
              <w:rPr>
                <w:rFonts w:ascii="Calibri Light" w:hAnsi="Calibri Light" w:cs="Calibri Light"/>
                <w:webHidden/>
              </w:rPr>
            </w:r>
            <w:r w:rsidRPr="00C25C42">
              <w:rPr>
                <w:rFonts w:ascii="Calibri Light" w:hAnsi="Calibri Light" w:cs="Calibri Light"/>
                <w:webHidden/>
              </w:rPr>
              <w:fldChar w:fldCharType="separate"/>
            </w:r>
            <w:r w:rsidR="000A05CD">
              <w:rPr>
                <w:rFonts w:ascii="Calibri Light" w:hAnsi="Calibri Light" w:cs="Calibri Light"/>
                <w:webHidden/>
              </w:rPr>
              <w:t>9</w:t>
            </w:r>
            <w:r w:rsidRPr="00C25C42">
              <w:rPr>
                <w:rFonts w:ascii="Calibri Light" w:hAnsi="Calibri Light" w:cs="Calibri Light"/>
                <w:webHidden/>
              </w:rPr>
              <w:fldChar w:fldCharType="end"/>
            </w:r>
          </w:hyperlink>
        </w:p>
        <w:p w14:paraId="6AE328BA" w14:textId="455221E4" w:rsidR="004C25F2" w:rsidRPr="00C25C42" w:rsidRDefault="004C25F2">
          <w:pPr>
            <w:pStyle w:val="TOC2"/>
            <w:rPr>
              <w:rFonts w:ascii="Calibri Light" w:eastAsiaTheme="minorEastAsia" w:hAnsi="Calibri Light" w:cs="Calibri Light"/>
              <w:lang w:eastAsia="en-AU"/>
            </w:rPr>
          </w:pPr>
          <w:hyperlink w:anchor="_Toc140150189" w:history="1">
            <w:r w:rsidRPr="00C25C42">
              <w:rPr>
                <w:rStyle w:val="Hyperlink"/>
                <w:rFonts w:ascii="Calibri Light" w:hAnsi="Calibri Light" w:cs="Calibri Light"/>
              </w:rPr>
              <w:t>E: How register notice requirements interact with sections 98C, 98D, and 98E of the Act</w:t>
            </w:r>
            <w:r w:rsidRPr="00C25C42">
              <w:rPr>
                <w:rFonts w:ascii="Calibri Light" w:hAnsi="Calibri Light" w:cs="Calibri Light"/>
                <w:webHidden/>
              </w:rPr>
              <w:tab/>
            </w:r>
            <w:r w:rsidRPr="00C25C42">
              <w:rPr>
                <w:rFonts w:ascii="Calibri Light" w:hAnsi="Calibri Light" w:cs="Calibri Light"/>
                <w:webHidden/>
              </w:rPr>
              <w:fldChar w:fldCharType="begin"/>
            </w:r>
            <w:r w:rsidRPr="00C25C42">
              <w:rPr>
                <w:rFonts w:ascii="Calibri Light" w:hAnsi="Calibri Light" w:cs="Calibri Light"/>
                <w:webHidden/>
              </w:rPr>
              <w:instrText xml:space="preserve"> PAGEREF _Toc140150189 \h </w:instrText>
            </w:r>
            <w:r w:rsidRPr="00C25C42">
              <w:rPr>
                <w:rFonts w:ascii="Calibri Light" w:hAnsi="Calibri Light" w:cs="Calibri Light"/>
                <w:webHidden/>
              </w:rPr>
            </w:r>
            <w:r w:rsidRPr="00C25C42">
              <w:rPr>
                <w:rFonts w:ascii="Calibri Light" w:hAnsi="Calibri Light" w:cs="Calibri Light"/>
                <w:webHidden/>
              </w:rPr>
              <w:fldChar w:fldCharType="separate"/>
            </w:r>
            <w:r w:rsidR="000A05CD">
              <w:rPr>
                <w:rFonts w:ascii="Calibri Light" w:hAnsi="Calibri Light" w:cs="Calibri Light"/>
                <w:webHidden/>
              </w:rPr>
              <w:t>14</w:t>
            </w:r>
            <w:r w:rsidRPr="00C25C42">
              <w:rPr>
                <w:rFonts w:ascii="Calibri Light" w:hAnsi="Calibri Light" w:cs="Calibri Light"/>
                <w:webHidden/>
              </w:rPr>
              <w:fldChar w:fldCharType="end"/>
            </w:r>
          </w:hyperlink>
        </w:p>
        <w:p w14:paraId="279E6A19" w14:textId="19D60A5B" w:rsidR="004C25F2" w:rsidRPr="00C25C42" w:rsidRDefault="004C25F2">
          <w:pPr>
            <w:pStyle w:val="TOC2"/>
            <w:rPr>
              <w:rFonts w:ascii="Calibri Light" w:eastAsiaTheme="minorEastAsia" w:hAnsi="Calibri Light" w:cs="Calibri Light"/>
              <w:lang w:eastAsia="en-AU"/>
            </w:rPr>
          </w:pPr>
          <w:hyperlink w:anchor="_Toc140150190" w:history="1">
            <w:r w:rsidRPr="00C25C42">
              <w:rPr>
                <w:rStyle w:val="Hyperlink"/>
                <w:rFonts w:ascii="Calibri Light" w:hAnsi="Calibri Light" w:cs="Calibri Light"/>
              </w:rPr>
              <w:t>F: How register notice requirements interact with reporting obligations under conditions</w:t>
            </w:r>
            <w:r w:rsidRPr="00C25C42">
              <w:rPr>
                <w:rFonts w:ascii="Calibri Light" w:hAnsi="Calibri Light" w:cs="Calibri Light"/>
                <w:webHidden/>
              </w:rPr>
              <w:tab/>
            </w:r>
            <w:r w:rsidRPr="00C25C42">
              <w:rPr>
                <w:rFonts w:ascii="Calibri Light" w:hAnsi="Calibri Light" w:cs="Calibri Light"/>
                <w:webHidden/>
              </w:rPr>
              <w:fldChar w:fldCharType="begin"/>
            </w:r>
            <w:r w:rsidRPr="00C25C42">
              <w:rPr>
                <w:rFonts w:ascii="Calibri Light" w:hAnsi="Calibri Light" w:cs="Calibri Light"/>
                <w:webHidden/>
              </w:rPr>
              <w:instrText xml:space="preserve"> PAGEREF _Toc140150190 \h </w:instrText>
            </w:r>
            <w:r w:rsidRPr="00C25C42">
              <w:rPr>
                <w:rFonts w:ascii="Calibri Light" w:hAnsi="Calibri Light" w:cs="Calibri Light"/>
                <w:webHidden/>
              </w:rPr>
            </w:r>
            <w:r w:rsidRPr="00C25C42">
              <w:rPr>
                <w:rFonts w:ascii="Calibri Light" w:hAnsi="Calibri Light" w:cs="Calibri Light"/>
                <w:webHidden/>
              </w:rPr>
              <w:fldChar w:fldCharType="separate"/>
            </w:r>
            <w:r w:rsidR="000A05CD">
              <w:rPr>
                <w:rFonts w:ascii="Calibri Light" w:hAnsi="Calibri Light" w:cs="Calibri Light"/>
                <w:webHidden/>
              </w:rPr>
              <w:t>14</w:t>
            </w:r>
            <w:r w:rsidRPr="00C25C42">
              <w:rPr>
                <w:rFonts w:ascii="Calibri Light" w:hAnsi="Calibri Light" w:cs="Calibri Light"/>
                <w:webHidden/>
              </w:rPr>
              <w:fldChar w:fldCharType="end"/>
            </w:r>
          </w:hyperlink>
        </w:p>
        <w:p w14:paraId="035904BF" w14:textId="1486E408" w:rsidR="004C25F2" w:rsidRPr="00C25C42" w:rsidRDefault="004C25F2">
          <w:pPr>
            <w:pStyle w:val="TOC2"/>
            <w:rPr>
              <w:rFonts w:ascii="Calibri Light" w:eastAsiaTheme="minorEastAsia" w:hAnsi="Calibri Light" w:cs="Calibri Light"/>
              <w:lang w:eastAsia="en-AU"/>
            </w:rPr>
          </w:pPr>
          <w:hyperlink w:anchor="_Toc140150191" w:history="1">
            <w:r w:rsidRPr="00C25C42">
              <w:rPr>
                <w:rStyle w:val="Hyperlink"/>
                <w:rFonts w:ascii="Calibri Light" w:hAnsi="Calibri Light" w:cs="Calibri Light"/>
              </w:rPr>
              <w:t>G: Exemptions</w:t>
            </w:r>
            <w:r w:rsidRPr="00C25C42">
              <w:rPr>
                <w:rFonts w:ascii="Calibri Light" w:hAnsi="Calibri Light" w:cs="Calibri Light"/>
                <w:webHidden/>
              </w:rPr>
              <w:tab/>
            </w:r>
            <w:r w:rsidRPr="00C25C42">
              <w:rPr>
                <w:rFonts w:ascii="Calibri Light" w:hAnsi="Calibri Light" w:cs="Calibri Light"/>
                <w:webHidden/>
              </w:rPr>
              <w:fldChar w:fldCharType="begin"/>
            </w:r>
            <w:r w:rsidRPr="00C25C42">
              <w:rPr>
                <w:rFonts w:ascii="Calibri Light" w:hAnsi="Calibri Light" w:cs="Calibri Light"/>
                <w:webHidden/>
              </w:rPr>
              <w:instrText xml:space="preserve"> PAGEREF _Toc140150191 \h </w:instrText>
            </w:r>
            <w:r w:rsidRPr="00C25C42">
              <w:rPr>
                <w:rFonts w:ascii="Calibri Light" w:hAnsi="Calibri Light" w:cs="Calibri Light"/>
                <w:webHidden/>
              </w:rPr>
            </w:r>
            <w:r w:rsidRPr="00C25C42">
              <w:rPr>
                <w:rFonts w:ascii="Calibri Light" w:hAnsi="Calibri Light" w:cs="Calibri Light"/>
                <w:webHidden/>
              </w:rPr>
              <w:fldChar w:fldCharType="separate"/>
            </w:r>
            <w:r w:rsidR="000A05CD">
              <w:rPr>
                <w:rFonts w:ascii="Calibri Light" w:hAnsi="Calibri Light" w:cs="Calibri Light"/>
                <w:webHidden/>
              </w:rPr>
              <w:t>15</w:t>
            </w:r>
            <w:r w:rsidRPr="00C25C42">
              <w:rPr>
                <w:rFonts w:ascii="Calibri Light" w:hAnsi="Calibri Light" w:cs="Calibri Light"/>
                <w:webHidden/>
              </w:rPr>
              <w:fldChar w:fldCharType="end"/>
            </w:r>
          </w:hyperlink>
        </w:p>
        <w:p w14:paraId="0917C7B1" w14:textId="186A3532" w:rsidR="004C25F2" w:rsidRPr="00C25C42" w:rsidRDefault="004C25F2">
          <w:pPr>
            <w:pStyle w:val="TOC2"/>
            <w:rPr>
              <w:rFonts w:ascii="Calibri Light" w:eastAsiaTheme="minorEastAsia" w:hAnsi="Calibri Light" w:cs="Calibri Light"/>
              <w:lang w:eastAsia="en-AU"/>
            </w:rPr>
          </w:pPr>
          <w:hyperlink w:anchor="_Toc140150192" w:history="1">
            <w:r w:rsidRPr="00C25C42">
              <w:rPr>
                <w:rStyle w:val="Hyperlink"/>
                <w:rFonts w:ascii="Calibri Light" w:hAnsi="Calibri Light" w:cs="Calibri Light"/>
              </w:rPr>
              <w:t>H: How to give a register notice</w:t>
            </w:r>
            <w:r w:rsidRPr="00C25C42">
              <w:rPr>
                <w:rFonts w:ascii="Calibri Light" w:hAnsi="Calibri Light" w:cs="Calibri Light"/>
                <w:webHidden/>
              </w:rPr>
              <w:tab/>
            </w:r>
            <w:r w:rsidRPr="00C25C42">
              <w:rPr>
                <w:rFonts w:ascii="Calibri Light" w:hAnsi="Calibri Light" w:cs="Calibri Light"/>
                <w:webHidden/>
              </w:rPr>
              <w:fldChar w:fldCharType="begin"/>
            </w:r>
            <w:r w:rsidRPr="00C25C42">
              <w:rPr>
                <w:rFonts w:ascii="Calibri Light" w:hAnsi="Calibri Light" w:cs="Calibri Light"/>
                <w:webHidden/>
              </w:rPr>
              <w:instrText xml:space="preserve"> PAGEREF _Toc140150192 \h </w:instrText>
            </w:r>
            <w:r w:rsidRPr="00C25C42">
              <w:rPr>
                <w:rFonts w:ascii="Calibri Light" w:hAnsi="Calibri Light" w:cs="Calibri Light"/>
                <w:webHidden/>
              </w:rPr>
            </w:r>
            <w:r w:rsidRPr="00C25C42">
              <w:rPr>
                <w:rFonts w:ascii="Calibri Light" w:hAnsi="Calibri Light" w:cs="Calibri Light"/>
                <w:webHidden/>
              </w:rPr>
              <w:fldChar w:fldCharType="separate"/>
            </w:r>
            <w:r w:rsidR="000A05CD">
              <w:rPr>
                <w:rFonts w:ascii="Calibri Light" w:hAnsi="Calibri Light" w:cs="Calibri Light"/>
                <w:webHidden/>
              </w:rPr>
              <w:t>17</w:t>
            </w:r>
            <w:r w:rsidRPr="00C25C42">
              <w:rPr>
                <w:rFonts w:ascii="Calibri Light" w:hAnsi="Calibri Light" w:cs="Calibri Light"/>
                <w:webHidden/>
              </w:rPr>
              <w:fldChar w:fldCharType="end"/>
            </w:r>
          </w:hyperlink>
        </w:p>
        <w:p w14:paraId="70547C88" w14:textId="72189F4A" w:rsidR="004C25F2" w:rsidRPr="00C25C42" w:rsidRDefault="004C25F2">
          <w:pPr>
            <w:pStyle w:val="TOC2"/>
            <w:rPr>
              <w:rFonts w:ascii="Calibri Light" w:eastAsiaTheme="minorEastAsia" w:hAnsi="Calibri Light" w:cs="Calibri Light"/>
              <w:lang w:eastAsia="en-AU"/>
            </w:rPr>
          </w:pPr>
          <w:hyperlink w:anchor="_Toc140150193" w:history="1">
            <w:r w:rsidRPr="00C25C42">
              <w:rPr>
                <w:rStyle w:val="Hyperlink"/>
                <w:rFonts w:ascii="Calibri Light" w:hAnsi="Calibri Light" w:cs="Calibri Light"/>
              </w:rPr>
              <w:t>I: How information given to the Registrar will be treated</w:t>
            </w:r>
            <w:r w:rsidRPr="00C25C42">
              <w:rPr>
                <w:rFonts w:ascii="Calibri Light" w:hAnsi="Calibri Light" w:cs="Calibri Light"/>
                <w:webHidden/>
              </w:rPr>
              <w:tab/>
            </w:r>
            <w:r w:rsidRPr="00C25C42">
              <w:rPr>
                <w:rFonts w:ascii="Calibri Light" w:hAnsi="Calibri Light" w:cs="Calibri Light"/>
                <w:webHidden/>
              </w:rPr>
              <w:fldChar w:fldCharType="begin"/>
            </w:r>
            <w:r w:rsidRPr="00C25C42">
              <w:rPr>
                <w:rFonts w:ascii="Calibri Light" w:hAnsi="Calibri Light" w:cs="Calibri Light"/>
                <w:webHidden/>
              </w:rPr>
              <w:instrText xml:space="preserve"> PAGEREF _Toc140150193 \h </w:instrText>
            </w:r>
            <w:r w:rsidRPr="00C25C42">
              <w:rPr>
                <w:rFonts w:ascii="Calibri Light" w:hAnsi="Calibri Light" w:cs="Calibri Light"/>
                <w:webHidden/>
              </w:rPr>
            </w:r>
            <w:r w:rsidRPr="00C25C42">
              <w:rPr>
                <w:rFonts w:ascii="Calibri Light" w:hAnsi="Calibri Light" w:cs="Calibri Light"/>
                <w:webHidden/>
              </w:rPr>
              <w:fldChar w:fldCharType="separate"/>
            </w:r>
            <w:r w:rsidR="000A05CD">
              <w:rPr>
                <w:rFonts w:ascii="Calibri Light" w:hAnsi="Calibri Light" w:cs="Calibri Light"/>
                <w:webHidden/>
              </w:rPr>
              <w:t>17</w:t>
            </w:r>
            <w:r w:rsidRPr="00C25C42">
              <w:rPr>
                <w:rFonts w:ascii="Calibri Light" w:hAnsi="Calibri Light" w:cs="Calibri Light"/>
                <w:webHidden/>
              </w:rPr>
              <w:fldChar w:fldCharType="end"/>
            </w:r>
          </w:hyperlink>
        </w:p>
        <w:p w14:paraId="743A6630" w14:textId="18A9384B" w:rsidR="004C25F2" w:rsidRPr="00C25C42" w:rsidRDefault="004C25F2">
          <w:pPr>
            <w:pStyle w:val="TOC2"/>
            <w:rPr>
              <w:rFonts w:ascii="Calibri Light" w:eastAsiaTheme="minorEastAsia" w:hAnsi="Calibri Light" w:cs="Calibri Light"/>
              <w:lang w:eastAsia="en-AU"/>
            </w:rPr>
          </w:pPr>
          <w:hyperlink w:anchor="_Toc140150194" w:history="1">
            <w:r w:rsidRPr="00C25C42">
              <w:rPr>
                <w:rStyle w:val="Hyperlink"/>
                <w:rFonts w:ascii="Calibri Light" w:hAnsi="Calibri Light" w:cs="Calibri Light"/>
              </w:rPr>
              <w:t>J: Record</w:t>
            </w:r>
            <w:r w:rsidRPr="00C25C42">
              <w:rPr>
                <w:rStyle w:val="Hyperlink"/>
                <w:rFonts w:ascii="Calibri Light" w:hAnsi="Calibri Light" w:cs="Calibri Light"/>
              </w:rPr>
              <w:noBreakHyphen/>
              <w:t>keeping and penalties</w:t>
            </w:r>
            <w:r w:rsidRPr="00C25C42">
              <w:rPr>
                <w:rFonts w:ascii="Calibri Light" w:hAnsi="Calibri Light" w:cs="Calibri Light"/>
                <w:webHidden/>
              </w:rPr>
              <w:tab/>
            </w:r>
            <w:r w:rsidRPr="00C25C42">
              <w:rPr>
                <w:rFonts w:ascii="Calibri Light" w:hAnsi="Calibri Light" w:cs="Calibri Light"/>
                <w:webHidden/>
              </w:rPr>
              <w:fldChar w:fldCharType="begin"/>
            </w:r>
            <w:r w:rsidRPr="00C25C42">
              <w:rPr>
                <w:rFonts w:ascii="Calibri Light" w:hAnsi="Calibri Light" w:cs="Calibri Light"/>
                <w:webHidden/>
              </w:rPr>
              <w:instrText xml:space="preserve"> PAGEREF _Toc140150194 \h </w:instrText>
            </w:r>
            <w:r w:rsidRPr="00C25C42">
              <w:rPr>
                <w:rFonts w:ascii="Calibri Light" w:hAnsi="Calibri Light" w:cs="Calibri Light"/>
                <w:webHidden/>
              </w:rPr>
            </w:r>
            <w:r w:rsidRPr="00C25C42">
              <w:rPr>
                <w:rFonts w:ascii="Calibri Light" w:hAnsi="Calibri Light" w:cs="Calibri Light"/>
                <w:webHidden/>
              </w:rPr>
              <w:fldChar w:fldCharType="separate"/>
            </w:r>
            <w:r w:rsidR="000A05CD">
              <w:rPr>
                <w:rFonts w:ascii="Calibri Light" w:hAnsi="Calibri Light" w:cs="Calibri Light"/>
                <w:webHidden/>
              </w:rPr>
              <w:t>18</w:t>
            </w:r>
            <w:r w:rsidRPr="00C25C42">
              <w:rPr>
                <w:rFonts w:ascii="Calibri Light" w:hAnsi="Calibri Light" w:cs="Calibri Light"/>
                <w:webHidden/>
              </w:rPr>
              <w:fldChar w:fldCharType="end"/>
            </w:r>
          </w:hyperlink>
        </w:p>
        <w:p w14:paraId="7F6F3825" w14:textId="1F353B5D" w:rsidR="004C25F2" w:rsidRDefault="004C25F2">
          <w:pPr>
            <w:pStyle w:val="TOC2"/>
            <w:rPr>
              <w:rFonts w:eastAsiaTheme="minorEastAsia"/>
              <w:lang w:eastAsia="en-AU"/>
            </w:rPr>
          </w:pPr>
          <w:hyperlink w:anchor="_Toc140150195" w:history="1">
            <w:r w:rsidRPr="00C25C42">
              <w:rPr>
                <w:rStyle w:val="Hyperlink"/>
                <w:rFonts w:ascii="Calibri Light" w:hAnsi="Calibri Light" w:cs="Calibri Light"/>
              </w:rPr>
              <w:t>Further information</w:t>
            </w:r>
            <w:r w:rsidRPr="00C25C42">
              <w:rPr>
                <w:rFonts w:ascii="Calibri Light" w:hAnsi="Calibri Light" w:cs="Calibri Light"/>
                <w:webHidden/>
              </w:rPr>
              <w:tab/>
            </w:r>
            <w:r w:rsidRPr="00C25C42">
              <w:rPr>
                <w:rFonts w:ascii="Calibri Light" w:hAnsi="Calibri Light" w:cs="Calibri Light"/>
                <w:webHidden/>
              </w:rPr>
              <w:fldChar w:fldCharType="begin"/>
            </w:r>
            <w:r w:rsidRPr="00C25C42">
              <w:rPr>
                <w:rFonts w:ascii="Calibri Light" w:hAnsi="Calibri Light" w:cs="Calibri Light"/>
                <w:webHidden/>
              </w:rPr>
              <w:instrText xml:space="preserve"> PAGEREF _Toc140150195 \h </w:instrText>
            </w:r>
            <w:r w:rsidRPr="00C25C42">
              <w:rPr>
                <w:rFonts w:ascii="Calibri Light" w:hAnsi="Calibri Light" w:cs="Calibri Light"/>
                <w:webHidden/>
              </w:rPr>
            </w:r>
            <w:r w:rsidRPr="00C25C42">
              <w:rPr>
                <w:rFonts w:ascii="Calibri Light" w:hAnsi="Calibri Light" w:cs="Calibri Light"/>
                <w:webHidden/>
              </w:rPr>
              <w:fldChar w:fldCharType="separate"/>
            </w:r>
            <w:r w:rsidR="000A05CD">
              <w:rPr>
                <w:rFonts w:ascii="Calibri Light" w:hAnsi="Calibri Light" w:cs="Calibri Light"/>
                <w:webHidden/>
              </w:rPr>
              <w:t>18</w:t>
            </w:r>
            <w:r w:rsidRPr="00C25C42">
              <w:rPr>
                <w:rFonts w:ascii="Calibri Light" w:hAnsi="Calibri Light" w:cs="Calibri Light"/>
                <w:webHidden/>
              </w:rPr>
              <w:fldChar w:fldCharType="end"/>
            </w:r>
          </w:hyperlink>
        </w:p>
        <w:p w14:paraId="131F5FB6" w14:textId="7A1DBF84" w:rsidR="00494943" w:rsidRPr="008A56BD" w:rsidRDefault="00494943" w:rsidP="00596A66">
          <w:pPr>
            <w:pStyle w:val="TOC1"/>
          </w:pPr>
          <w:r w:rsidRPr="002C4C4B">
            <w:fldChar w:fldCharType="end"/>
          </w:r>
        </w:p>
      </w:sdtContent>
    </w:sdt>
    <w:p w14:paraId="35A780B7" w14:textId="77777777" w:rsidR="00494943" w:rsidRPr="00361D29" w:rsidRDefault="00494943" w:rsidP="000200BB">
      <w:r w:rsidRPr="00361D29">
        <w:br w:type="page"/>
      </w:r>
    </w:p>
    <w:p w14:paraId="7601BDC6" w14:textId="0E363617" w:rsidR="00494943" w:rsidRPr="008A56BD" w:rsidRDefault="00494943" w:rsidP="005913E9">
      <w:pPr>
        <w:pStyle w:val="Heading2"/>
        <w:spacing w:line="240" w:lineRule="auto"/>
      </w:pPr>
      <w:bookmarkStart w:id="4" w:name="_Toc140150185"/>
      <w:r w:rsidRPr="008A56BD">
        <w:lastRenderedPageBreak/>
        <w:t xml:space="preserve">A: </w:t>
      </w:r>
      <w:r w:rsidR="00DF5172">
        <w:t>Who is required to give register notices?</w:t>
      </w:r>
      <w:bookmarkEnd w:id="4"/>
    </w:p>
    <w:p w14:paraId="32F840C0" w14:textId="0412D558" w:rsidR="00311D12" w:rsidRPr="00311D12" w:rsidRDefault="00311D12" w:rsidP="00DA17AC">
      <w:pPr>
        <w:rPr>
          <w:b/>
        </w:rPr>
      </w:pPr>
      <w:r w:rsidRPr="00311D12">
        <w:t xml:space="preserve">Foreign persons must notify the Registrar of the Register of Foreign Ownership of Australian Assets (the </w:t>
      </w:r>
      <w:r w:rsidRPr="00DA17AC">
        <w:rPr>
          <w:b/>
        </w:rPr>
        <w:t>Registrar</w:t>
      </w:r>
      <w:r w:rsidRPr="00311D12">
        <w:t xml:space="preserve">) in relation to a range of </w:t>
      </w:r>
      <w:r w:rsidR="002B678E">
        <w:t>actions</w:t>
      </w:r>
      <w:r w:rsidR="002B678E" w:rsidRPr="00311D12">
        <w:t xml:space="preserve"> </w:t>
      </w:r>
      <w:r w:rsidRPr="00311D12">
        <w:t xml:space="preserve">involving Australian land, water, entities, businesses, and other assets (known as </w:t>
      </w:r>
      <w:r w:rsidR="003F2C1D">
        <w:t>‘</w:t>
      </w:r>
      <w:r w:rsidRPr="00311D12">
        <w:t>giving a register notice</w:t>
      </w:r>
      <w:r w:rsidR="003F2C1D">
        <w:t>’</w:t>
      </w:r>
      <w:r w:rsidRPr="00311D12">
        <w:t>), unless an exemption applies.</w:t>
      </w:r>
      <w:r w:rsidR="00E50138">
        <w:rPr>
          <w:rStyle w:val="FootnoteReference"/>
        </w:rPr>
        <w:footnoteReference w:id="2"/>
      </w:r>
    </w:p>
    <w:p w14:paraId="69620F02" w14:textId="769DD363" w:rsidR="00311D12" w:rsidRDefault="00311D12" w:rsidP="00DA17AC">
      <w:pPr>
        <w:rPr>
          <w:b/>
        </w:rPr>
      </w:pPr>
      <w:r w:rsidRPr="00311D12">
        <w:t xml:space="preserve">The </w:t>
      </w:r>
      <w:r w:rsidRPr="00E16645">
        <w:rPr>
          <w:i/>
          <w:iCs/>
        </w:rPr>
        <w:t>Key Concepts</w:t>
      </w:r>
      <w:r w:rsidRPr="00311D12">
        <w:t xml:space="preserve"> Guidance Note explains the definition of </w:t>
      </w:r>
      <w:r w:rsidR="003F2C1D">
        <w:t>‘</w:t>
      </w:r>
      <w:r w:rsidRPr="00311D12">
        <w:t>foreign person</w:t>
      </w:r>
      <w:r w:rsidR="003F2C1D">
        <w:t>’</w:t>
      </w:r>
      <w:r w:rsidRPr="00311D12">
        <w:t>, including in relation to corporations, trustees, and individuals (such as those not ordinarily resident in Australia, temporary residents, foreign non</w:t>
      </w:r>
      <w:r w:rsidR="003F2C1D">
        <w:noBreakHyphen/>
      </w:r>
      <w:r w:rsidRPr="00311D12">
        <w:t xml:space="preserve">residents, New Zealand citizens, and Australian citizens living overseas). The </w:t>
      </w:r>
      <w:r w:rsidRPr="00A86402">
        <w:rPr>
          <w:i/>
          <w:iCs/>
        </w:rPr>
        <w:t>Key Concepts</w:t>
      </w:r>
      <w:r w:rsidRPr="00311D12">
        <w:t xml:space="preserve"> Guidance Note also explains other important concepts including the definition of </w:t>
      </w:r>
      <w:r w:rsidR="003F2C1D">
        <w:t>‘</w:t>
      </w:r>
      <w:r w:rsidRPr="00311D12">
        <w:t>direct interest</w:t>
      </w:r>
      <w:r w:rsidR="003F2C1D">
        <w:t>’</w:t>
      </w:r>
      <w:r w:rsidRPr="00311D12">
        <w:t xml:space="preserve"> and </w:t>
      </w:r>
      <w:r w:rsidR="003F2C1D">
        <w:t>‘</w:t>
      </w:r>
      <w:r w:rsidRPr="00311D12">
        <w:t>acquires an interest</w:t>
      </w:r>
      <w:r w:rsidR="003F2C1D">
        <w:t>’</w:t>
      </w:r>
      <w:r w:rsidRPr="00311D12">
        <w:t>.</w:t>
      </w:r>
      <w:r w:rsidR="006A3D3B">
        <w:rPr>
          <w:rStyle w:val="FootnoteReference"/>
        </w:rPr>
        <w:footnoteReference w:id="3"/>
      </w:r>
    </w:p>
    <w:p w14:paraId="783DE61A" w14:textId="72407557" w:rsidR="00311D12" w:rsidRPr="008A56BD" w:rsidRDefault="002255D4" w:rsidP="005913E9">
      <w:pPr>
        <w:pStyle w:val="Heading2"/>
        <w:spacing w:line="240" w:lineRule="auto"/>
      </w:pPr>
      <w:bookmarkStart w:id="5" w:name="_Toc140150186"/>
      <w:r>
        <w:t>B</w:t>
      </w:r>
      <w:r w:rsidR="00311D12" w:rsidRPr="008A56BD">
        <w:t xml:space="preserve">: </w:t>
      </w:r>
      <w:r w:rsidR="003C6D39">
        <w:t>Why do register notices need to be given?</w:t>
      </w:r>
      <w:bookmarkEnd w:id="5"/>
    </w:p>
    <w:p w14:paraId="25133573" w14:textId="7CCCD945" w:rsidR="00B91BDA" w:rsidRDefault="00B91BDA" w:rsidP="005913E9">
      <w:r>
        <w:t xml:space="preserve">The </w:t>
      </w:r>
      <w:r w:rsidRPr="002C4C4B">
        <w:rPr>
          <w:i/>
          <w:iCs/>
        </w:rPr>
        <w:t>Foreign Acquisitions and Takeovers Act 1975</w:t>
      </w:r>
      <w:r>
        <w:t xml:space="preserve"> (the </w:t>
      </w:r>
      <w:r w:rsidRPr="006407D4">
        <w:rPr>
          <w:b/>
          <w:bCs/>
        </w:rPr>
        <w:t>Act</w:t>
      </w:r>
      <w:r>
        <w:t xml:space="preserve">) </w:t>
      </w:r>
      <w:proofErr w:type="gramStart"/>
      <w:r>
        <w:t>establishes</w:t>
      </w:r>
      <w:proofErr w:type="gramEnd"/>
      <w:r>
        <w:t xml:space="preserve"> a regime for the notification, review and </w:t>
      </w:r>
      <w:r w:rsidR="00A2268F">
        <w:t xml:space="preserve">regulation </w:t>
      </w:r>
      <w:r>
        <w:t>of foreign investment in Australia. Part 7A of the Act establishe</w:t>
      </w:r>
      <w:r w:rsidR="00872918">
        <w:t>s</w:t>
      </w:r>
      <w:r>
        <w:t xml:space="preserve"> the Register of Foreign Ownership of Australian Assets (the </w:t>
      </w:r>
      <w:r w:rsidRPr="006407D4">
        <w:rPr>
          <w:b/>
          <w:bCs/>
        </w:rPr>
        <w:t>Register</w:t>
      </w:r>
      <w:r>
        <w:t>), and the Register is an integral part of Australia</w:t>
      </w:r>
      <w:r w:rsidR="003F2C1D">
        <w:t>’</w:t>
      </w:r>
      <w:r>
        <w:t>s foreign investment framework.</w:t>
      </w:r>
    </w:p>
    <w:p w14:paraId="6CF6320D" w14:textId="72D7DB9C" w:rsidR="00B91BDA" w:rsidRDefault="00B91BDA" w:rsidP="005913E9">
      <w:r>
        <w:t>The Act requires foreign persons to give a register notice in certain situations. Penalties apply for failing to give a register notice whe</w:t>
      </w:r>
      <w:r w:rsidR="00C71E07">
        <w:t>n</w:t>
      </w:r>
      <w:r>
        <w:t xml:space="preserve"> you are required to do so. </w:t>
      </w:r>
    </w:p>
    <w:p w14:paraId="66659160" w14:textId="2E3AC9C3" w:rsidR="00AD782F" w:rsidRPr="00311D12" w:rsidRDefault="00972D6B" w:rsidP="005913E9">
      <w:pPr>
        <w:pStyle w:val="Heading2"/>
        <w:spacing w:line="240" w:lineRule="auto"/>
      </w:pPr>
      <w:bookmarkStart w:id="6" w:name="_Toc140150187"/>
      <w:r>
        <w:t>C</w:t>
      </w:r>
      <w:r w:rsidR="00AD782F" w:rsidRPr="008A56BD">
        <w:t xml:space="preserve">: </w:t>
      </w:r>
      <w:r w:rsidR="00FE5E03">
        <w:t>Circumstances in which register notices must be given</w:t>
      </w:r>
      <w:bookmarkEnd w:id="6"/>
    </w:p>
    <w:p w14:paraId="5E324D93" w14:textId="6EEB1BF1" w:rsidR="00494943" w:rsidRPr="008A56BD" w:rsidRDefault="00793A14" w:rsidP="005913E9">
      <w:pPr>
        <w:pStyle w:val="Heading3"/>
        <w:spacing w:before="0" w:line="240" w:lineRule="auto"/>
      </w:pPr>
      <w:r>
        <w:t>Acquisitions of</w:t>
      </w:r>
      <w:r w:rsidR="00235088">
        <w:t>, and other actions in relation to,</w:t>
      </w:r>
      <w:r>
        <w:t xml:space="preserve"> certain interests</w:t>
      </w:r>
    </w:p>
    <w:p w14:paraId="303BD0B3" w14:textId="77777777" w:rsidR="007B67B0" w:rsidRPr="00EA2142" w:rsidRDefault="00494943" w:rsidP="005913E9">
      <w:pPr>
        <w:spacing w:after="220"/>
        <w:rPr>
          <w:rFonts w:cs="Calibri Light"/>
          <w:color w:val="000000"/>
          <w:szCs w:val="22"/>
        </w:rPr>
      </w:pPr>
      <w:r w:rsidRPr="00EA2142">
        <w:rPr>
          <w:rFonts w:cs="Calibri Light"/>
          <w:szCs w:val="22"/>
        </w:rPr>
        <w:t xml:space="preserve"> </w:t>
      </w:r>
      <w:r w:rsidR="007B67B0" w:rsidRPr="00EA2142">
        <w:rPr>
          <w:rFonts w:cs="Calibri Light"/>
          <w:color w:val="000000"/>
          <w:szCs w:val="22"/>
        </w:rPr>
        <w:t>If you are a foreign person, you must give a register notice if you:</w:t>
      </w:r>
    </w:p>
    <w:p w14:paraId="01C22E7C" w14:textId="0793BB26" w:rsidR="007B67B0" w:rsidRPr="00EA2142" w:rsidRDefault="007B67B0" w:rsidP="00267415">
      <w:pPr>
        <w:pStyle w:val="Bullet"/>
        <w:ind w:left="284" w:hanging="284"/>
      </w:pPr>
      <w:r w:rsidRPr="00EA2142">
        <w:t>acquire an interest in Australian land that is any of the following:</w:t>
      </w:r>
      <w:r w:rsidRPr="00EA2142">
        <w:rPr>
          <w:rStyle w:val="FootnoteReference"/>
          <w:rFonts w:cs="Calibri Light"/>
          <w:color w:val="000000"/>
          <w:szCs w:val="22"/>
        </w:rPr>
        <w:footnoteReference w:id="4"/>
      </w:r>
    </w:p>
    <w:p w14:paraId="117DFB27" w14:textId="009A4152" w:rsidR="007B67B0" w:rsidRPr="00EA2142" w:rsidRDefault="007B67B0" w:rsidP="000B2352">
      <w:pPr>
        <w:pStyle w:val="Dash"/>
        <w:ind w:left="567" w:hanging="283"/>
      </w:pPr>
      <w:r w:rsidRPr="00EA2142">
        <w:t xml:space="preserve">a </w:t>
      </w:r>
      <w:r w:rsidR="00EA2248">
        <w:t xml:space="preserve">legal </w:t>
      </w:r>
      <w:r w:rsidRPr="00EA2142">
        <w:t>freehold interest</w:t>
      </w:r>
      <w:r w:rsidR="00EA2248">
        <w:t>, or</w:t>
      </w:r>
    </w:p>
    <w:p w14:paraId="2918D22D" w14:textId="1E58C645" w:rsidR="007B67B0" w:rsidRPr="00EA2142" w:rsidRDefault="007B67B0" w:rsidP="000B2352">
      <w:pPr>
        <w:pStyle w:val="Dash"/>
        <w:ind w:left="567" w:hanging="283"/>
      </w:pPr>
      <w:r w:rsidRPr="00EA2142">
        <w:t>a</w:t>
      </w:r>
      <w:r w:rsidR="00363F8F">
        <w:t xml:space="preserve"> legal or equitable</w:t>
      </w:r>
      <w:r w:rsidRPr="00EA2142">
        <w:t xml:space="preserve"> interest as lessee in a lease giving rights to occupy agricultural land if the term of the lease (including any extension or renewal) is reasonably likely, at the time the interest is acquired, to exceed 5 years</w:t>
      </w:r>
      <w:r w:rsidR="00081FC0">
        <w:t>, or</w:t>
      </w:r>
    </w:p>
    <w:p w14:paraId="3843CC02" w14:textId="7A6C3347" w:rsidR="007B67B0" w:rsidRPr="00EA2142" w:rsidRDefault="007B67B0" w:rsidP="000B2352">
      <w:pPr>
        <w:pStyle w:val="Dash"/>
        <w:ind w:left="567" w:hanging="283"/>
      </w:pPr>
      <w:r w:rsidRPr="00EA2142">
        <w:t>a legal interest as lessee in a lease giving rights to occupy commercial land or residential land if the term of the lease (including any extension or renewal) is reasonably likely, at the time the interest is acquired, to exceed 5 years</w:t>
      </w:r>
      <w:r w:rsidR="00081FC0">
        <w:t>, or</w:t>
      </w:r>
    </w:p>
    <w:p w14:paraId="1BF64364" w14:textId="4EBB0235" w:rsidR="007B67B0" w:rsidRPr="00EA2142" w:rsidRDefault="007B67B0" w:rsidP="000B2352">
      <w:pPr>
        <w:pStyle w:val="Dash"/>
        <w:ind w:left="567" w:hanging="283"/>
      </w:pPr>
      <w:r w:rsidRPr="00EA2142">
        <w:t>a</w:t>
      </w:r>
      <w:r w:rsidR="00CC6C10">
        <w:t xml:space="preserve"> legal</w:t>
      </w:r>
      <w:r w:rsidRPr="00EA2142">
        <w:t xml:space="preserve"> interest in a mining or production tenement</w:t>
      </w:r>
      <w:r w:rsidR="00081FC0">
        <w:t>, or</w:t>
      </w:r>
    </w:p>
    <w:p w14:paraId="518424ED" w14:textId="77508D7B" w:rsidR="007B67B0" w:rsidRPr="00EA2142" w:rsidRDefault="007B67B0" w:rsidP="000B2352">
      <w:pPr>
        <w:pStyle w:val="Dash"/>
        <w:ind w:left="567" w:hanging="283"/>
      </w:pPr>
      <w:r w:rsidRPr="00EA2142">
        <w:t>a</w:t>
      </w:r>
      <w:r w:rsidR="00B53B93">
        <w:t xml:space="preserve"> legal</w:t>
      </w:r>
      <w:r w:rsidRPr="00EA2142">
        <w:t xml:space="preserve"> interest in a security in an entity that owns Australian land, being a security that entitles the holder to a right to occupy a dwelling of a kind known as a flat or home unit situated on the land</w:t>
      </w:r>
      <w:r w:rsidR="00081FC0">
        <w:t>, or</w:t>
      </w:r>
    </w:p>
    <w:p w14:paraId="55896A85" w14:textId="6850ACE7" w:rsidR="007B67B0" w:rsidRPr="00EA2142" w:rsidRDefault="007B67B0" w:rsidP="000B2352">
      <w:pPr>
        <w:pStyle w:val="Dash"/>
        <w:ind w:left="567" w:hanging="283"/>
      </w:pPr>
      <w:r w:rsidRPr="00EA2142">
        <w:t>a</w:t>
      </w:r>
      <w:r w:rsidR="00ED0797">
        <w:t xml:space="preserve"> legal</w:t>
      </w:r>
      <w:r w:rsidRPr="00EA2142">
        <w:t xml:space="preserve"> interest in a share in an Australian land corporation or agricultural land corporation</w:t>
      </w:r>
      <w:r w:rsidR="00081FC0">
        <w:t>, or</w:t>
      </w:r>
    </w:p>
    <w:p w14:paraId="13C842AA" w14:textId="7A06189E" w:rsidR="007B67B0" w:rsidRPr="00EA2142" w:rsidRDefault="007B67B0" w:rsidP="000B2352">
      <w:pPr>
        <w:pStyle w:val="Dash"/>
        <w:ind w:left="567" w:hanging="283"/>
      </w:pPr>
      <w:r w:rsidRPr="00EA2142">
        <w:lastRenderedPageBreak/>
        <w:t>a</w:t>
      </w:r>
      <w:r w:rsidR="00CE09FB">
        <w:t xml:space="preserve"> legal</w:t>
      </w:r>
      <w:r w:rsidRPr="00EA2142">
        <w:t xml:space="preserve"> interest in a unit in an Australian land trust or agricultural land trust</w:t>
      </w:r>
      <w:r w:rsidR="00081FC0">
        <w:t>, or</w:t>
      </w:r>
    </w:p>
    <w:p w14:paraId="038562B9" w14:textId="56EB6B85" w:rsidR="00FD0CE0" w:rsidRPr="00EA2142" w:rsidRDefault="007B67B0" w:rsidP="000B2352">
      <w:pPr>
        <w:pStyle w:val="Dash"/>
        <w:ind w:left="567" w:hanging="283"/>
      </w:pPr>
      <w:r w:rsidRPr="00EA2142">
        <w:t>if the trustee of an Australian land trust or agricultural land trust is a corporation—a</w:t>
      </w:r>
      <w:r w:rsidR="00150093">
        <w:t xml:space="preserve"> legal</w:t>
      </w:r>
      <w:r w:rsidRPr="00EA2142">
        <w:t xml:space="preserve"> interest in a share in that corporation</w:t>
      </w:r>
      <w:r w:rsidR="00081FC0">
        <w:t>; or</w:t>
      </w:r>
    </w:p>
    <w:p w14:paraId="452CF137" w14:textId="365071E4" w:rsidR="007B67B0" w:rsidRPr="00EA2142" w:rsidRDefault="007B67B0" w:rsidP="000B2352">
      <w:pPr>
        <w:pStyle w:val="Dash"/>
        <w:numPr>
          <w:ilvl w:val="0"/>
          <w:numId w:val="9"/>
        </w:numPr>
      </w:pPr>
      <w:r w:rsidRPr="00EA2142">
        <w:t xml:space="preserve">acquire a </w:t>
      </w:r>
      <w:r w:rsidR="002F4D3C">
        <w:t xml:space="preserve">legal </w:t>
      </w:r>
      <w:r w:rsidRPr="00EA2142">
        <w:t xml:space="preserve">interest in an </w:t>
      </w:r>
      <w:r w:rsidRPr="00793163">
        <w:t>exploration</w:t>
      </w:r>
      <w:r w:rsidRPr="00EA2142">
        <w:t xml:space="preserve"> tenement;</w:t>
      </w:r>
      <w:r w:rsidRPr="00EA2142">
        <w:rPr>
          <w:rStyle w:val="FootnoteReference"/>
          <w:rFonts w:cs="Calibri Light"/>
          <w:color w:val="000000"/>
          <w:szCs w:val="22"/>
        </w:rPr>
        <w:footnoteReference w:id="5"/>
      </w:r>
      <w:r w:rsidRPr="00EA2142">
        <w:t xml:space="preserve"> or</w:t>
      </w:r>
    </w:p>
    <w:p w14:paraId="682E9A1A" w14:textId="4ACE3DA0" w:rsidR="007B67B0" w:rsidRPr="00EA2142" w:rsidRDefault="007B67B0" w:rsidP="000B2352">
      <w:pPr>
        <w:pStyle w:val="Dash"/>
        <w:numPr>
          <w:ilvl w:val="0"/>
          <w:numId w:val="9"/>
        </w:numPr>
      </w:pPr>
      <w:r w:rsidRPr="00EA2142">
        <w:t xml:space="preserve">acquire a </w:t>
      </w:r>
      <w:r w:rsidRPr="00793163">
        <w:t>registrable</w:t>
      </w:r>
      <w:r w:rsidRPr="00EA2142">
        <w:t xml:space="preserve"> water interest</w:t>
      </w:r>
      <w:r w:rsidR="00F7649D">
        <w:t xml:space="preserve"> and hold that interest at the end of the financial year in which the registrable water interest was acquired</w:t>
      </w:r>
      <w:r w:rsidRPr="00EA2142">
        <w:t>;</w:t>
      </w:r>
      <w:r w:rsidRPr="00EA2142">
        <w:rPr>
          <w:rStyle w:val="FootnoteReference"/>
          <w:rFonts w:cs="Calibri Light"/>
          <w:color w:val="000000"/>
          <w:szCs w:val="22"/>
        </w:rPr>
        <w:footnoteReference w:id="6"/>
      </w:r>
      <w:r w:rsidRPr="00EA2142">
        <w:t xml:space="preserve"> or</w:t>
      </w:r>
    </w:p>
    <w:p w14:paraId="5EDAD074" w14:textId="4EDE4DFB" w:rsidR="007B67B0" w:rsidRPr="00EA2142" w:rsidRDefault="00D11664" w:rsidP="000B2352">
      <w:pPr>
        <w:pStyle w:val="Dash"/>
        <w:numPr>
          <w:ilvl w:val="0"/>
          <w:numId w:val="9"/>
        </w:numPr>
      </w:pPr>
      <w:r>
        <w:t xml:space="preserve">take an action in </w:t>
      </w:r>
      <w:r w:rsidRPr="00793163">
        <w:t>relation</w:t>
      </w:r>
      <w:r>
        <w:t xml:space="preserve"> to an entity or business</w:t>
      </w:r>
      <w:r w:rsidR="007B67B0" w:rsidRPr="00EA2142">
        <w:t xml:space="preserve">, if the </w:t>
      </w:r>
      <w:r>
        <w:t>action</w:t>
      </w:r>
      <w:r w:rsidR="007B67B0" w:rsidRPr="00EA2142">
        <w:t>:</w:t>
      </w:r>
    </w:p>
    <w:p w14:paraId="0B7BD965" w14:textId="3964E785" w:rsidR="007B67B0" w:rsidRPr="00EA2142" w:rsidRDefault="006A7434" w:rsidP="000B2352">
      <w:pPr>
        <w:pStyle w:val="Dash"/>
        <w:ind w:left="567" w:hanging="283"/>
      </w:pPr>
      <w:r>
        <w:t>is</w:t>
      </w:r>
      <w:r w:rsidR="007B67B0" w:rsidRPr="00EA2142">
        <w:t xml:space="preserve"> a significant action,</w:t>
      </w:r>
      <w:r w:rsidR="007B67B0" w:rsidRPr="00EA2142">
        <w:rPr>
          <w:rStyle w:val="FootnoteReference"/>
          <w:rFonts w:cs="Calibri Light"/>
          <w:color w:val="000000"/>
          <w:szCs w:val="22"/>
        </w:rPr>
        <w:footnoteReference w:id="7"/>
      </w:r>
      <w:r w:rsidR="007B67B0" w:rsidRPr="00EA2142">
        <w:t xml:space="preserve"> and:</w:t>
      </w:r>
    </w:p>
    <w:p w14:paraId="294FB6B5" w14:textId="7892E64C" w:rsidR="007B67B0" w:rsidRPr="00EA2142" w:rsidRDefault="007B67B0" w:rsidP="000B2352">
      <w:pPr>
        <w:pStyle w:val="Bullet"/>
        <w:numPr>
          <w:ilvl w:val="2"/>
          <w:numId w:val="7"/>
        </w:numPr>
        <w:tabs>
          <w:tab w:val="clear" w:pos="1560"/>
          <w:tab w:val="num" w:pos="851"/>
        </w:tabs>
        <w:ind w:left="851" w:hanging="284"/>
      </w:pPr>
      <w:r w:rsidRPr="00EA2142">
        <w:t>a no objection notification or a notice imposing conditions</w:t>
      </w:r>
      <w:r w:rsidR="008D6F39">
        <w:t xml:space="preserve"> has been (and has not been revoked) or is given in relation to that action</w:t>
      </w:r>
      <w:r w:rsidRPr="00EA2142">
        <w:t>, or</w:t>
      </w:r>
    </w:p>
    <w:p w14:paraId="72210E60" w14:textId="77777777" w:rsidR="007B67B0" w:rsidRPr="00EA2142" w:rsidRDefault="007B67B0" w:rsidP="000B2352">
      <w:pPr>
        <w:pStyle w:val="Bullet"/>
        <w:numPr>
          <w:ilvl w:val="2"/>
          <w:numId w:val="7"/>
        </w:numPr>
        <w:tabs>
          <w:tab w:val="clear" w:pos="1560"/>
          <w:tab w:val="num" w:pos="851"/>
        </w:tabs>
        <w:ind w:left="851" w:hanging="284"/>
      </w:pPr>
      <w:r w:rsidRPr="00EA2142">
        <w:t>that action was notified to the Treasurer before being taken, including where a decision was not made during the applicable decision period, or</w:t>
      </w:r>
    </w:p>
    <w:p w14:paraId="793163CB" w14:textId="4923DE3A" w:rsidR="007B67B0" w:rsidRPr="00EA2142" w:rsidRDefault="007B67B0" w:rsidP="000B2352">
      <w:pPr>
        <w:pStyle w:val="Bullet"/>
        <w:numPr>
          <w:ilvl w:val="2"/>
          <w:numId w:val="7"/>
        </w:numPr>
        <w:tabs>
          <w:tab w:val="clear" w:pos="1560"/>
          <w:tab w:val="num" w:pos="851"/>
        </w:tabs>
        <w:ind w:left="851" w:hanging="284"/>
      </w:pPr>
      <w:r w:rsidRPr="00EA2142">
        <w:t>that action was reviewed by the Treasurer under section 66A of the Act</w:t>
      </w:r>
      <w:r w:rsidR="004C6694">
        <w:t xml:space="preserve"> before it was taken</w:t>
      </w:r>
      <w:r w:rsidRPr="00EA2142">
        <w:t>, and the Treasurer gave a notice under that section</w:t>
      </w:r>
      <w:r w:rsidR="009D5D2F">
        <w:t>;</w:t>
      </w:r>
      <w:r w:rsidRPr="00EA2142">
        <w:t xml:space="preserve"> or</w:t>
      </w:r>
    </w:p>
    <w:p w14:paraId="67E1C892" w14:textId="365A7924" w:rsidR="007B67B0" w:rsidRPr="00EA2142" w:rsidRDefault="00F47B30" w:rsidP="000B2352">
      <w:pPr>
        <w:pStyle w:val="Dash"/>
        <w:ind w:left="567" w:hanging="283"/>
      </w:pPr>
      <w:r>
        <w:t>is</w:t>
      </w:r>
      <w:r w:rsidR="007B67B0" w:rsidRPr="00EA2142">
        <w:t xml:space="preserve"> a notifiable action;</w:t>
      </w:r>
      <w:r w:rsidR="007B67B0" w:rsidRPr="00EA2142">
        <w:rPr>
          <w:rStyle w:val="FootnoteReference"/>
          <w:rFonts w:cs="Calibri Light"/>
          <w:color w:val="000000"/>
          <w:szCs w:val="22"/>
        </w:rPr>
        <w:footnoteReference w:id="8"/>
      </w:r>
      <w:r w:rsidR="007B67B0" w:rsidRPr="00EA2142">
        <w:t xml:space="preserve"> or</w:t>
      </w:r>
    </w:p>
    <w:p w14:paraId="5BD8893D" w14:textId="00643971" w:rsidR="007B67B0" w:rsidRPr="00EA2142" w:rsidRDefault="007B67B0" w:rsidP="000B2352">
      <w:pPr>
        <w:pStyle w:val="Dash"/>
        <w:ind w:left="567" w:hanging="283"/>
      </w:pPr>
      <w:r w:rsidRPr="00EA2142">
        <w:t xml:space="preserve">would </w:t>
      </w:r>
      <w:r w:rsidR="00035021">
        <w:t>be</w:t>
      </w:r>
      <w:r w:rsidRPr="00EA2142">
        <w:t xml:space="preserve"> a significant or notifiable action if not covered by an exemption certificate;</w:t>
      </w:r>
      <w:r w:rsidRPr="00EA2142">
        <w:rPr>
          <w:rStyle w:val="FootnoteReference"/>
          <w:rFonts w:cs="Calibri Light"/>
          <w:color w:val="000000"/>
          <w:szCs w:val="22"/>
        </w:rPr>
        <w:footnoteReference w:id="9"/>
      </w:r>
      <w:r w:rsidRPr="00EA2142">
        <w:t xml:space="preserve"> or</w:t>
      </w:r>
    </w:p>
    <w:p w14:paraId="1D15E133" w14:textId="12A02D51" w:rsidR="007B67B0" w:rsidRPr="00EA2142" w:rsidRDefault="00F01514" w:rsidP="000B2352">
      <w:pPr>
        <w:pStyle w:val="Dash"/>
        <w:ind w:left="567" w:hanging="283"/>
      </w:pPr>
      <w:r>
        <w:t>is</w:t>
      </w:r>
      <w:r w:rsidR="007B67B0" w:rsidRPr="00EA2142">
        <w:t xml:space="preserve"> a notifiable national security action;</w:t>
      </w:r>
      <w:r w:rsidR="007B67B0" w:rsidRPr="00EA2142">
        <w:rPr>
          <w:rStyle w:val="FootnoteReference"/>
          <w:rFonts w:cs="Calibri Light"/>
          <w:color w:val="000000"/>
          <w:szCs w:val="22"/>
        </w:rPr>
        <w:footnoteReference w:id="10"/>
      </w:r>
      <w:r w:rsidR="007B67B0" w:rsidRPr="00EA2142">
        <w:t xml:space="preserve"> or </w:t>
      </w:r>
    </w:p>
    <w:p w14:paraId="6B6D148D" w14:textId="5ABC9459" w:rsidR="007B67B0" w:rsidRPr="00EA2142" w:rsidRDefault="007B67B0" w:rsidP="000B2352">
      <w:pPr>
        <w:pStyle w:val="Dash"/>
        <w:ind w:left="567" w:hanging="283"/>
      </w:pPr>
      <w:r w:rsidRPr="00EA2142">
        <w:t xml:space="preserve">would </w:t>
      </w:r>
      <w:r w:rsidR="008A0C23">
        <w:t>be</w:t>
      </w:r>
      <w:r w:rsidRPr="00EA2142">
        <w:t xml:space="preserve"> a notifiable national security action if not covered by an exemption certificate;</w:t>
      </w:r>
      <w:r w:rsidRPr="00EA2142">
        <w:rPr>
          <w:rStyle w:val="FootnoteReference"/>
          <w:rFonts w:cs="Calibri Light"/>
          <w:color w:val="000000"/>
          <w:szCs w:val="22"/>
        </w:rPr>
        <w:footnoteReference w:id="11"/>
      </w:r>
      <w:r w:rsidRPr="00EA2142">
        <w:t xml:space="preserve"> or</w:t>
      </w:r>
    </w:p>
    <w:p w14:paraId="52BA59CF" w14:textId="13699EC0" w:rsidR="007B67B0" w:rsidRPr="00EA2142" w:rsidRDefault="008A0C23" w:rsidP="000B2352">
      <w:pPr>
        <w:pStyle w:val="Dash"/>
        <w:ind w:left="567" w:hanging="283"/>
      </w:pPr>
      <w:r>
        <w:t>is</w:t>
      </w:r>
      <w:r w:rsidR="007B67B0" w:rsidRPr="00EA2142">
        <w:t xml:space="preserve"> a reviewable national security action,</w:t>
      </w:r>
      <w:r w:rsidR="007B67B0" w:rsidRPr="00EA2142">
        <w:rPr>
          <w:rStyle w:val="FootnoteReference"/>
          <w:rFonts w:cs="Calibri Light"/>
          <w:color w:val="000000"/>
          <w:szCs w:val="22"/>
        </w:rPr>
        <w:footnoteReference w:id="12"/>
      </w:r>
      <w:r w:rsidR="007B67B0" w:rsidRPr="00EA2142">
        <w:t xml:space="preserve"> and:</w:t>
      </w:r>
    </w:p>
    <w:p w14:paraId="52144C50" w14:textId="65A1CD32" w:rsidR="007B67B0" w:rsidRPr="00EA2142" w:rsidRDefault="007B67B0" w:rsidP="000B2352">
      <w:pPr>
        <w:pStyle w:val="Bullet"/>
        <w:numPr>
          <w:ilvl w:val="2"/>
          <w:numId w:val="7"/>
        </w:numPr>
        <w:tabs>
          <w:tab w:val="clear" w:pos="1560"/>
          <w:tab w:val="num" w:pos="851"/>
        </w:tabs>
        <w:ind w:left="851" w:hanging="284"/>
      </w:pPr>
      <w:r w:rsidRPr="00EA2142">
        <w:t>a no objection notification or a notice imposing conditions</w:t>
      </w:r>
      <w:r w:rsidR="00F84160">
        <w:t xml:space="preserve"> has been (and has not been revoked) or is given in relation to that action</w:t>
      </w:r>
      <w:r w:rsidRPr="00EA2142">
        <w:t>, or</w:t>
      </w:r>
    </w:p>
    <w:p w14:paraId="6FC08B67" w14:textId="77777777" w:rsidR="007B67B0" w:rsidRPr="00EA2142" w:rsidRDefault="007B67B0" w:rsidP="000B2352">
      <w:pPr>
        <w:pStyle w:val="Bullet"/>
        <w:numPr>
          <w:ilvl w:val="2"/>
          <w:numId w:val="7"/>
        </w:numPr>
        <w:tabs>
          <w:tab w:val="clear" w:pos="1560"/>
          <w:tab w:val="num" w:pos="851"/>
        </w:tabs>
        <w:ind w:left="851" w:hanging="284"/>
      </w:pPr>
      <w:r w:rsidRPr="00EA2142">
        <w:t>that action was notified to the Treasurer before being taken, including where a decision was not made during the applicable decision period, or</w:t>
      </w:r>
    </w:p>
    <w:p w14:paraId="48B0CF4D" w14:textId="0B49E8FC" w:rsidR="007B67B0" w:rsidRPr="00EA2142" w:rsidRDefault="007B67B0" w:rsidP="000B2352">
      <w:pPr>
        <w:pStyle w:val="Bullet"/>
        <w:numPr>
          <w:ilvl w:val="2"/>
          <w:numId w:val="7"/>
        </w:numPr>
        <w:tabs>
          <w:tab w:val="clear" w:pos="1560"/>
          <w:tab w:val="num" w:pos="851"/>
        </w:tabs>
        <w:ind w:left="851" w:hanging="284"/>
      </w:pPr>
      <w:r w:rsidRPr="00EA2142">
        <w:t>that action was reviewed by the Treasurer under section 66A of the Act</w:t>
      </w:r>
      <w:r w:rsidR="004211A4">
        <w:t xml:space="preserve"> before it was taken</w:t>
      </w:r>
      <w:r w:rsidRPr="00EA2142">
        <w:t>, and the Treasurer gave a notice under that section</w:t>
      </w:r>
      <w:r w:rsidR="00BD21E6">
        <w:t>;</w:t>
      </w:r>
      <w:r w:rsidRPr="00EA2142">
        <w:t xml:space="preserve"> or</w:t>
      </w:r>
    </w:p>
    <w:p w14:paraId="1D96444A" w14:textId="7EDAC0AB" w:rsidR="007B67B0" w:rsidRDefault="007B67B0" w:rsidP="000B2352">
      <w:pPr>
        <w:pStyle w:val="DoubleDot"/>
        <w:ind w:left="851" w:hanging="284"/>
      </w:pPr>
      <w:r w:rsidRPr="00EA2142">
        <w:lastRenderedPageBreak/>
        <w:t xml:space="preserve">would </w:t>
      </w:r>
      <w:r w:rsidR="00252CAC">
        <w:t>be</w:t>
      </w:r>
      <w:r w:rsidRPr="00EA2142">
        <w:t xml:space="preserve"> a reviewable national security action if not covered by an exemption certificate</w:t>
      </w:r>
      <w:r w:rsidR="00E95111">
        <w:t>;</w:t>
      </w:r>
      <w:r w:rsidR="00D76C0E">
        <w:t xml:space="preserve"> or</w:t>
      </w:r>
      <w:r w:rsidRPr="00EA2142">
        <w:rPr>
          <w:rStyle w:val="FootnoteReference"/>
          <w:rFonts w:cs="Calibri Light"/>
          <w:color w:val="000000"/>
          <w:szCs w:val="22"/>
        </w:rPr>
        <w:footnoteReference w:id="13"/>
      </w:r>
    </w:p>
    <w:p w14:paraId="5CFE4D3F" w14:textId="6850E2FF" w:rsidR="00F14B9B" w:rsidRDefault="00365ABF" w:rsidP="000B2352">
      <w:pPr>
        <w:pStyle w:val="Dash"/>
        <w:ind w:left="567" w:hanging="283"/>
      </w:pPr>
      <w:r>
        <w:t>acquire a direct interest in an entity or business that wholly or partly carries on an Australian media business</w:t>
      </w:r>
      <w:r w:rsidR="00766986">
        <w:t>.</w:t>
      </w:r>
      <w:r w:rsidR="00810C9A">
        <w:rPr>
          <w:rStyle w:val="FootnoteReference"/>
          <w:rFonts w:cs="Calibri Light"/>
          <w:color w:val="000000"/>
          <w:szCs w:val="22"/>
        </w:rPr>
        <w:footnoteReference w:id="14"/>
      </w:r>
      <w:r w:rsidR="004C3D59">
        <w:t xml:space="preserve"> </w:t>
      </w:r>
    </w:p>
    <w:p w14:paraId="571D5755" w14:textId="1E7FD52D" w:rsidR="00B62996" w:rsidRDefault="00E232CD" w:rsidP="005913E9">
      <w:pPr>
        <w:spacing w:before="0" w:after="220"/>
        <w:rPr>
          <w:rFonts w:cs="Calibri Light"/>
          <w:color w:val="000000"/>
          <w:szCs w:val="22"/>
        </w:rPr>
      </w:pPr>
      <w:r>
        <w:rPr>
          <w:rFonts w:cs="Calibri Light"/>
          <w:color w:val="000000"/>
          <w:szCs w:val="22"/>
        </w:rPr>
        <w:t xml:space="preserve">If you are a foreign government investor, you must also </w:t>
      </w:r>
      <w:r w:rsidR="003B7E40">
        <w:rPr>
          <w:rFonts w:cs="Calibri Light"/>
          <w:color w:val="000000"/>
          <w:szCs w:val="22"/>
        </w:rPr>
        <w:t>give a register notice if you:</w:t>
      </w:r>
    </w:p>
    <w:p w14:paraId="5F0A788F" w14:textId="40446D23" w:rsidR="002C7791" w:rsidRPr="00C40D67" w:rsidRDefault="00053312" w:rsidP="000B2352">
      <w:pPr>
        <w:pStyle w:val="Bullet"/>
        <w:ind w:left="284" w:hanging="284"/>
      </w:pPr>
      <w:r w:rsidRPr="00C40D67">
        <w:t xml:space="preserve">start </w:t>
      </w:r>
      <w:r w:rsidR="002C7791" w:rsidRPr="00C40D67">
        <w:t>an Australian business;</w:t>
      </w:r>
      <w:r w:rsidR="002C7791" w:rsidRPr="00837916">
        <w:rPr>
          <w:rStyle w:val="FootnoteReference"/>
          <w:rFonts w:cs="Calibri Light"/>
          <w:color w:val="000000"/>
          <w:szCs w:val="22"/>
        </w:rPr>
        <w:footnoteReference w:id="15"/>
      </w:r>
      <w:r w:rsidR="002C7791" w:rsidRPr="00C40D67">
        <w:t xml:space="preserve"> or</w:t>
      </w:r>
    </w:p>
    <w:p w14:paraId="2FBFDCDE" w14:textId="77777777" w:rsidR="002C7791" w:rsidRPr="00837916" w:rsidRDefault="002C7791" w:rsidP="000B2352">
      <w:pPr>
        <w:pStyle w:val="Bullet"/>
        <w:ind w:left="284" w:hanging="284"/>
      </w:pPr>
      <w:r w:rsidRPr="00837916">
        <w:t>acquire a direct interest in an Australian entity or business;</w:t>
      </w:r>
      <w:r w:rsidRPr="00837916">
        <w:rPr>
          <w:rStyle w:val="FootnoteReference"/>
          <w:rFonts w:cs="Calibri Light"/>
          <w:color w:val="000000"/>
          <w:szCs w:val="22"/>
        </w:rPr>
        <w:footnoteReference w:id="16"/>
      </w:r>
      <w:r w:rsidRPr="00837916">
        <w:t xml:space="preserve"> or</w:t>
      </w:r>
    </w:p>
    <w:p w14:paraId="6E88FF19" w14:textId="05A9AFE8" w:rsidR="002C7791" w:rsidRDefault="002C7791" w:rsidP="000B2352">
      <w:pPr>
        <w:pStyle w:val="Bullet"/>
        <w:ind w:left="284" w:hanging="284"/>
      </w:pPr>
      <w:r w:rsidRPr="00837916">
        <w:t>acquire a</w:t>
      </w:r>
      <w:r>
        <w:t xml:space="preserve"> legal or equitable</w:t>
      </w:r>
      <w:r w:rsidRPr="00837916">
        <w:t xml:space="preserve"> interest in a tenement or </w:t>
      </w:r>
      <w:r>
        <w:t xml:space="preserve">an interest of </w:t>
      </w:r>
      <w:r w:rsidRPr="00837916">
        <w:t>at least 10</w:t>
      </w:r>
      <w:r w:rsidR="005F6AEC">
        <w:t> </w:t>
      </w:r>
      <w:r w:rsidRPr="00837916">
        <w:t>per</w:t>
      </w:r>
      <w:r w:rsidR="005F6AEC">
        <w:t> </w:t>
      </w:r>
      <w:r w:rsidRPr="00837916">
        <w:t>cent in securities in a mining, production, or exploration entity.</w:t>
      </w:r>
      <w:r w:rsidRPr="00837916">
        <w:rPr>
          <w:rStyle w:val="FootnoteReference"/>
          <w:rFonts w:cs="Calibri Light"/>
          <w:color w:val="000000"/>
          <w:szCs w:val="22"/>
        </w:rPr>
        <w:footnoteReference w:id="17"/>
      </w:r>
    </w:p>
    <w:p w14:paraId="28C691D7" w14:textId="5A0EC8C8" w:rsidR="007B67B0" w:rsidRPr="00EA2142" w:rsidRDefault="007B67B0" w:rsidP="002C4C4B">
      <w:pPr>
        <w:spacing w:after="220"/>
        <w:rPr>
          <w:rFonts w:cs="Calibri Light"/>
          <w:color w:val="000000"/>
          <w:szCs w:val="22"/>
        </w:rPr>
      </w:pPr>
      <w:r w:rsidRPr="00EA2142">
        <w:rPr>
          <w:rFonts w:cs="Calibri Light"/>
          <w:color w:val="000000"/>
          <w:szCs w:val="22"/>
        </w:rPr>
        <w:t xml:space="preserve">If multiple foreign persons acquire an interest in land </w:t>
      </w:r>
      <w:r w:rsidR="002B03F8">
        <w:rPr>
          <w:rFonts w:cs="Calibri Light"/>
          <w:color w:val="000000"/>
          <w:szCs w:val="22"/>
        </w:rPr>
        <w:t xml:space="preserve">to which Part 7A of the Act applies </w:t>
      </w:r>
      <w:r w:rsidRPr="00EA2142">
        <w:rPr>
          <w:rFonts w:cs="Calibri Light"/>
          <w:color w:val="000000"/>
          <w:szCs w:val="22"/>
        </w:rPr>
        <w:t>as joint tenants or tenants in common, all of them are required to give a register notice.</w:t>
      </w:r>
      <w:r w:rsidRPr="00EA2142">
        <w:rPr>
          <w:rStyle w:val="FootnoteReference"/>
          <w:rFonts w:cs="Calibri Light"/>
          <w:color w:val="000000"/>
          <w:szCs w:val="22"/>
        </w:rPr>
        <w:footnoteReference w:id="18"/>
      </w:r>
      <w:r w:rsidRPr="00EA2142">
        <w:rPr>
          <w:rFonts w:cs="Calibri Light"/>
          <w:color w:val="000000"/>
          <w:szCs w:val="22"/>
        </w:rPr>
        <w:t xml:space="preserve"> When giving a register notice in relation to land in which multiple foreign persons have acquired an interest as joint tenants, one interest</w:t>
      </w:r>
      <w:r w:rsidR="003F2C1D">
        <w:rPr>
          <w:rFonts w:cs="Calibri Light"/>
          <w:color w:val="000000"/>
          <w:szCs w:val="22"/>
        </w:rPr>
        <w:noBreakHyphen/>
      </w:r>
      <w:r w:rsidRPr="00EA2142">
        <w:rPr>
          <w:rFonts w:cs="Calibri Light"/>
          <w:color w:val="000000"/>
          <w:szCs w:val="22"/>
        </w:rPr>
        <w:t xml:space="preserve">holder should register the interest through </w:t>
      </w:r>
      <w:hyperlink r:id="rId8" w:history="1">
        <w:r w:rsidRPr="00EA2142">
          <w:rPr>
            <w:rStyle w:val="Hyperlink"/>
            <w:rFonts w:cs="Calibri Light"/>
            <w:szCs w:val="22"/>
          </w:rPr>
          <w:t>Online services for foreign investors</w:t>
        </w:r>
      </w:hyperlink>
      <w:r w:rsidRPr="00EA2142">
        <w:rPr>
          <w:rFonts w:cs="Calibri Light"/>
          <w:color w:val="000000"/>
          <w:szCs w:val="22"/>
        </w:rPr>
        <w:t xml:space="preserve"> first, following which the other interest</w:t>
      </w:r>
      <w:r w:rsidR="003F2C1D">
        <w:rPr>
          <w:rFonts w:cs="Calibri Light"/>
          <w:color w:val="000000"/>
          <w:szCs w:val="22"/>
        </w:rPr>
        <w:noBreakHyphen/>
      </w:r>
      <w:r w:rsidRPr="00EA2142">
        <w:rPr>
          <w:rFonts w:cs="Calibri Light"/>
          <w:color w:val="000000"/>
          <w:szCs w:val="22"/>
        </w:rPr>
        <w:t xml:space="preserve">holders may add themselves to the same asset registration. When giving a register notice in relation to land in which multiple foreign persons have acquired an interest as tenants in common, each foreign person should register their proportional interest through </w:t>
      </w:r>
      <w:hyperlink r:id="rId9" w:history="1">
        <w:r w:rsidRPr="00EA2142">
          <w:rPr>
            <w:rStyle w:val="Hyperlink"/>
            <w:rFonts w:cs="Calibri Light"/>
            <w:szCs w:val="22"/>
          </w:rPr>
          <w:t>Online services for foreign investors</w:t>
        </w:r>
      </w:hyperlink>
      <w:r w:rsidR="00F02EC0">
        <w:rPr>
          <w:rFonts w:cs="Calibri Light"/>
          <w:color w:val="000000"/>
          <w:szCs w:val="22"/>
        </w:rPr>
        <w:t xml:space="preserve"> separately.</w:t>
      </w:r>
    </w:p>
    <w:p w14:paraId="19118398" w14:textId="0838C98F" w:rsidR="00FF3547" w:rsidRPr="008A56BD" w:rsidRDefault="005B3D9B" w:rsidP="005913E9">
      <w:pPr>
        <w:pStyle w:val="Heading3"/>
        <w:spacing w:before="0" w:line="240" w:lineRule="auto"/>
      </w:pPr>
      <w:r>
        <w:t>Becoming a foreign person while holding certain interests</w:t>
      </w:r>
    </w:p>
    <w:p w14:paraId="3631AD5B" w14:textId="77777777" w:rsidR="00912342" w:rsidRPr="002C42F2" w:rsidRDefault="00912342" w:rsidP="005913E9">
      <w:pPr>
        <w:spacing w:after="220"/>
        <w:rPr>
          <w:rFonts w:cs="Calibri Light"/>
          <w:color w:val="000000"/>
          <w:szCs w:val="22"/>
        </w:rPr>
      </w:pPr>
      <w:r w:rsidRPr="002C42F2">
        <w:rPr>
          <w:rFonts w:cs="Calibri Light"/>
          <w:color w:val="000000"/>
          <w:szCs w:val="22"/>
        </w:rPr>
        <w:t>You must give a register notice if you become a foreign person while:</w:t>
      </w:r>
    </w:p>
    <w:p w14:paraId="2AD43E86" w14:textId="56895923" w:rsidR="00912342" w:rsidRPr="002C42F2" w:rsidRDefault="00912342" w:rsidP="000B2352">
      <w:pPr>
        <w:pStyle w:val="Bullet"/>
        <w:ind w:left="284" w:hanging="284"/>
      </w:pPr>
      <w:r w:rsidRPr="002C42F2">
        <w:t>holding an interest in Australian land,</w:t>
      </w:r>
      <w:r w:rsidR="006A0ECF">
        <w:t xml:space="preserve"> if you would have been required to give a register notice had you acquired that interest while a foreign person,</w:t>
      </w:r>
      <w:r w:rsidR="0053708B">
        <w:t xml:space="preserve"> and</w:t>
      </w:r>
      <w:r w:rsidRPr="002C42F2">
        <w:t xml:space="preserve"> if the interest is:</w:t>
      </w:r>
      <w:r w:rsidRPr="002C42F2">
        <w:rPr>
          <w:rStyle w:val="FootnoteReference"/>
          <w:rFonts w:cs="Calibri Light"/>
          <w:color w:val="000000"/>
          <w:szCs w:val="22"/>
        </w:rPr>
        <w:footnoteReference w:id="19"/>
      </w:r>
    </w:p>
    <w:p w14:paraId="2B6F5294" w14:textId="0B95C8E2" w:rsidR="00912342" w:rsidRPr="002C42F2" w:rsidRDefault="00912342" w:rsidP="000B2352">
      <w:pPr>
        <w:pStyle w:val="Dash"/>
        <w:ind w:left="567" w:hanging="283"/>
      </w:pPr>
      <w:r w:rsidRPr="002C42F2">
        <w:t>a</w:t>
      </w:r>
      <w:r w:rsidR="002F69E7">
        <w:t xml:space="preserve"> legal</w:t>
      </w:r>
      <w:r w:rsidRPr="002C42F2">
        <w:t xml:space="preserve"> freehold interest, or</w:t>
      </w:r>
    </w:p>
    <w:p w14:paraId="68BFBE92" w14:textId="0C484D5D" w:rsidR="00912342" w:rsidRPr="002C42F2" w:rsidRDefault="00912342" w:rsidP="000B2352">
      <w:pPr>
        <w:pStyle w:val="Dash"/>
        <w:ind w:left="567" w:hanging="283"/>
      </w:pPr>
      <w:r w:rsidRPr="002C42F2">
        <w:t>a</w:t>
      </w:r>
      <w:r w:rsidR="00721A53">
        <w:t xml:space="preserve"> legal or equitable</w:t>
      </w:r>
      <w:r w:rsidRPr="002C42F2">
        <w:t xml:space="preserve"> interest as lessee in a lease giving rights to occupy agricultural land if the term of the lease (including any extension or renewal) is reasonably likely, at the time the interest is acquired, to exceed 5 years, or</w:t>
      </w:r>
    </w:p>
    <w:p w14:paraId="1EFED9D5" w14:textId="5F153936" w:rsidR="00912342" w:rsidRPr="002C42F2" w:rsidRDefault="00912342" w:rsidP="000B2352">
      <w:pPr>
        <w:pStyle w:val="Dash"/>
        <w:ind w:left="567" w:hanging="283"/>
        <w:rPr>
          <w:color w:val="000000"/>
        </w:rPr>
      </w:pPr>
      <w:r w:rsidRPr="002C42F2">
        <w:rPr>
          <w:color w:val="000000"/>
        </w:rPr>
        <w:t xml:space="preserve">a legal interest as lessee in a lease giving rights to occupy commercial land or residential land </w:t>
      </w:r>
      <w:r w:rsidRPr="002C42F2">
        <w:t>if the term of the lease (including any extension or renewal) is reasonably likely, at the time the interest is acquired, to exceed 5 years, or</w:t>
      </w:r>
    </w:p>
    <w:p w14:paraId="31F77E59" w14:textId="68D3F5F0" w:rsidR="00912342" w:rsidRPr="002C42F2" w:rsidRDefault="00912342" w:rsidP="000B2352">
      <w:pPr>
        <w:pStyle w:val="Dash"/>
        <w:ind w:left="567" w:hanging="283"/>
        <w:rPr>
          <w:color w:val="000000"/>
        </w:rPr>
      </w:pPr>
      <w:r w:rsidRPr="002C42F2">
        <w:t>a</w:t>
      </w:r>
      <w:r w:rsidR="006F5AB2">
        <w:t xml:space="preserve"> legal</w:t>
      </w:r>
      <w:r w:rsidRPr="002C42F2">
        <w:t xml:space="preserve"> interest in a mining or production tenement, or</w:t>
      </w:r>
    </w:p>
    <w:p w14:paraId="7EB6D81F" w14:textId="54F31079" w:rsidR="00912342" w:rsidRPr="002C42F2" w:rsidRDefault="00912342" w:rsidP="000B2352">
      <w:pPr>
        <w:pStyle w:val="Dash"/>
        <w:ind w:left="567" w:hanging="283"/>
      </w:pPr>
      <w:r w:rsidRPr="002C42F2">
        <w:t>a</w:t>
      </w:r>
      <w:r w:rsidR="00771A05">
        <w:t xml:space="preserve"> legal</w:t>
      </w:r>
      <w:r w:rsidRPr="002C42F2">
        <w:t xml:space="preserve"> interest in a security in an entity that owns Australian land, being a security that entitles the holder to a right to occupy a dwelling of a kind known as a flat or home unit situated on the land, or</w:t>
      </w:r>
    </w:p>
    <w:p w14:paraId="478E1B84" w14:textId="284CD522" w:rsidR="00912342" w:rsidRPr="002C42F2" w:rsidRDefault="00912342" w:rsidP="000B2352">
      <w:pPr>
        <w:pStyle w:val="Dash"/>
        <w:ind w:left="567" w:hanging="283"/>
      </w:pPr>
      <w:r w:rsidRPr="002C42F2">
        <w:lastRenderedPageBreak/>
        <w:t>a</w:t>
      </w:r>
      <w:r w:rsidR="00290F81">
        <w:t xml:space="preserve"> legal</w:t>
      </w:r>
      <w:r w:rsidRPr="002C42F2">
        <w:t xml:space="preserve"> interest in a share in an Australian land corporation or agricultural land corporation, or</w:t>
      </w:r>
    </w:p>
    <w:p w14:paraId="31C27357" w14:textId="5DBE2E29" w:rsidR="00912342" w:rsidRPr="002C42F2" w:rsidRDefault="00912342" w:rsidP="000B2352">
      <w:pPr>
        <w:pStyle w:val="Dash"/>
        <w:ind w:left="567" w:hanging="283"/>
      </w:pPr>
      <w:r w:rsidRPr="002C42F2">
        <w:t>a</w:t>
      </w:r>
      <w:r w:rsidR="003F73C3">
        <w:t xml:space="preserve"> legal</w:t>
      </w:r>
      <w:r w:rsidRPr="002C42F2">
        <w:t xml:space="preserve"> interest in a unit in an Australian land trust or agricultural land trust, or</w:t>
      </w:r>
    </w:p>
    <w:p w14:paraId="0BCFA906" w14:textId="185BB2D7" w:rsidR="00912342" w:rsidRPr="002C42F2" w:rsidRDefault="00912342" w:rsidP="000B2352">
      <w:pPr>
        <w:pStyle w:val="Dash"/>
        <w:ind w:left="567" w:hanging="283"/>
      </w:pPr>
      <w:r w:rsidRPr="002C42F2">
        <w:t>if the trustee of an Australian land trust or agricultural land trust is a corporation—a</w:t>
      </w:r>
      <w:r w:rsidR="002434C3">
        <w:t xml:space="preserve"> legal</w:t>
      </w:r>
      <w:r w:rsidRPr="002C42F2">
        <w:t xml:space="preserve"> interest in a share in that corporation; or</w:t>
      </w:r>
    </w:p>
    <w:p w14:paraId="38940B8B" w14:textId="48294AFF" w:rsidR="00912342" w:rsidRPr="002C42F2" w:rsidRDefault="00912342" w:rsidP="000B2352">
      <w:pPr>
        <w:pStyle w:val="Bullet"/>
        <w:ind w:left="284" w:hanging="284"/>
      </w:pPr>
      <w:r w:rsidRPr="002C42F2">
        <w:t>holding a</w:t>
      </w:r>
      <w:r w:rsidR="008401C3">
        <w:t xml:space="preserve"> legal</w:t>
      </w:r>
      <w:r w:rsidRPr="002C42F2">
        <w:t xml:space="preserve"> interest in an exploration tenement</w:t>
      </w:r>
      <w:r w:rsidR="001837A9">
        <w:t xml:space="preserve"> if you would have been required to give a register notice had you acquired that interest while a foreign person</w:t>
      </w:r>
      <w:r w:rsidRPr="002C42F2">
        <w:t>;</w:t>
      </w:r>
      <w:r w:rsidRPr="002C42F2">
        <w:rPr>
          <w:rStyle w:val="FootnoteReference"/>
          <w:rFonts w:cs="Calibri Light"/>
          <w:color w:val="000000"/>
          <w:szCs w:val="22"/>
        </w:rPr>
        <w:footnoteReference w:id="20"/>
      </w:r>
      <w:r w:rsidRPr="002C42F2">
        <w:t xml:space="preserve"> or</w:t>
      </w:r>
    </w:p>
    <w:p w14:paraId="228BAE76" w14:textId="77777777" w:rsidR="00912342" w:rsidRPr="002C42F2" w:rsidRDefault="00912342" w:rsidP="000B2352">
      <w:pPr>
        <w:pStyle w:val="Bullet"/>
        <w:ind w:left="284" w:hanging="284"/>
      </w:pPr>
      <w:r w:rsidRPr="002C42F2">
        <w:t>holding a registrable water interest;</w:t>
      </w:r>
      <w:r w:rsidRPr="002C42F2">
        <w:rPr>
          <w:rStyle w:val="FootnoteReference"/>
          <w:rFonts w:cs="Calibri Light"/>
          <w:color w:val="000000"/>
          <w:szCs w:val="22"/>
        </w:rPr>
        <w:footnoteReference w:id="21"/>
      </w:r>
      <w:r w:rsidRPr="002C42F2">
        <w:t xml:space="preserve"> or</w:t>
      </w:r>
    </w:p>
    <w:p w14:paraId="63B0ABF9" w14:textId="77777777" w:rsidR="00912342" w:rsidRPr="002C42F2" w:rsidRDefault="00912342" w:rsidP="000B2352">
      <w:pPr>
        <w:pStyle w:val="Bullet"/>
        <w:ind w:left="284" w:hanging="284"/>
      </w:pPr>
      <w:r w:rsidRPr="002C42F2">
        <w:t>holding an interest in an entity or business, if:</w:t>
      </w:r>
      <w:r w:rsidRPr="002C42F2">
        <w:rPr>
          <w:rStyle w:val="FootnoteReference"/>
          <w:rFonts w:cs="Calibri Light"/>
          <w:color w:val="000000"/>
          <w:szCs w:val="22"/>
        </w:rPr>
        <w:footnoteReference w:id="22"/>
      </w:r>
    </w:p>
    <w:p w14:paraId="0BC257C3" w14:textId="77777777" w:rsidR="00912342" w:rsidRPr="002C42F2" w:rsidRDefault="00912342" w:rsidP="000B2352">
      <w:pPr>
        <w:pStyle w:val="Dash"/>
        <w:ind w:left="567" w:hanging="283"/>
      </w:pPr>
      <w:r w:rsidRPr="002C42F2">
        <w:t>the interest is:</w:t>
      </w:r>
    </w:p>
    <w:p w14:paraId="39AD8152" w14:textId="77777777" w:rsidR="00912342" w:rsidRPr="002C42F2" w:rsidRDefault="00912342" w:rsidP="000B2352">
      <w:pPr>
        <w:pStyle w:val="DoubleDot"/>
        <w:ind w:left="851" w:hanging="284"/>
      </w:pPr>
      <w:r w:rsidRPr="002C42F2">
        <w:t>a direct interest in an Australian entity that is an agribusiness, or</w:t>
      </w:r>
    </w:p>
    <w:p w14:paraId="50470A71" w14:textId="77777777" w:rsidR="00912342" w:rsidRPr="002C42F2" w:rsidRDefault="00912342" w:rsidP="000B2352">
      <w:pPr>
        <w:pStyle w:val="DoubleDot"/>
        <w:ind w:left="851" w:hanging="284"/>
      </w:pPr>
      <w:r w:rsidRPr="002C42F2">
        <w:t>a direct interest in an Australian business that is an agribusiness, or</w:t>
      </w:r>
    </w:p>
    <w:p w14:paraId="50688138" w14:textId="77777777" w:rsidR="00912342" w:rsidRPr="002C42F2" w:rsidRDefault="00912342" w:rsidP="000B2352">
      <w:pPr>
        <w:pStyle w:val="DoubleDot"/>
        <w:ind w:left="851" w:hanging="284"/>
      </w:pPr>
      <w:r w:rsidRPr="002C42F2">
        <w:t>a substantial interest in an Australian entity, and</w:t>
      </w:r>
    </w:p>
    <w:p w14:paraId="543217F6" w14:textId="6A7AEB1A" w:rsidR="00912342" w:rsidRPr="002C42F2" w:rsidRDefault="00912342" w:rsidP="000B2352">
      <w:pPr>
        <w:pStyle w:val="Dash"/>
        <w:ind w:left="567" w:hanging="283"/>
      </w:pPr>
      <w:r w:rsidRPr="002C42F2">
        <w:t xml:space="preserve">had </w:t>
      </w:r>
      <w:r w:rsidR="005E5C5B">
        <w:t>you acquired the</w:t>
      </w:r>
      <w:r w:rsidR="005E5C5B" w:rsidRPr="002C42F2">
        <w:t xml:space="preserve"> </w:t>
      </w:r>
      <w:r w:rsidRPr="002C42F2">
        <w:t>interest on the day you became a foreign person, the action would have been a notifiable action</w:t>
      </w:r>
      <w:r w:rsidR="005E5C5B">
        <w:t xml:space="preserve"> under sections 47(2)(a) and/or (b) of the Act</w:t>
      </w:r>
      <w:r w:rsidRPr="002C42F2">
        <w:t>;</w:t>
      </w:r>
      <w:r w:rsidRPr="002C42F2">
        <w:rPr>
          <w:rStyle w:val="FootnoteReference"/>
          <w:rFonts w:cs="Calibri Light"/>
          <w:color w:val="000000"/>
          <w:szCs w:val="22"/>
        </w:rPr>
        <w:t xml:space="preserve"> </w:t>
      </w:r>
      <w:r w:rsidRPr="002C42F2">
        <w:t>or</w:t>
      </w:r>
    </w:p>
    <w:p w14:paraId="20CE114F" w14:textId="20B2ECB4" w:rsidR="00912342" w:rsidRPr="002C42F2" w:rsidRDefault="00912342" w:rsidP="000B2352">
      <w:pPr>
        <w:pStyle w:val="Bullet"/>
        <w:ind w:left="284" w:hanging="284"/>
      </w:pPr>
      <w:r w:rsidRPr="002C42F2">
        <w:t>carrying on a national security business; or holding a</w:t>
      </w:r>
      <w:r w:rsidR="0096660D">
        <w:t xml:space="preserve"> direct</w:t>
      </w:r>
      <w:r w:rsidRPr="002C42F2">
        <w:t xml:space="preserve"> interest in a national security business or an entity that carries on a national security business</w:t>
      </w:r>
      <w:r w:rsidR="00112BFA">
        <w:t xml:space="preserve"> if, had you started to carry on the national security business or acquired the interest on the day you became a foreign person, the action would have been a notifiable national security action under sections 55B(1)(a), (b), or (c) of the Act.</w:t>
      </w:r>
      <w:r w:rsidRPr="002C42F2">
        <w:rPr>
          <w:rStyle w:val="FootnoteReference"/>
          <w:rFonts w:cs="Calibri Light"/>
          <w:color w:val="000000"/>
          <w:szCs w:val="22"/>
        </w:rPr>
        <w:footnoteReference w:id="23"/>
      </w:r>
    </w:p>
    <w:p w14:paraId="36785E1A" w14:textId="77777777" w:rsidR="00D70888" w:rsidRPr="00361D29" w:rsidRDefault="00D70888" w:rsidP="00361D29">
      <w:r w:rsidRPr="00361D29">
        <w:br w:type="page"/>
      </w:r>
    </w:p>
    <w:p w14:paraId="43081A7E" w14:textId="7A4EA762" w:rsidR="00C220F7" w:rsidRDefault="004636BE" w:rsidP="005913E9">
      <w:pPr>
        <w:pStyle w:val="Heading3"/>
        <w:spacing w:line="240" w:lineRule="auto"/>
      </w:pPr>
      <w:r>
        <w:lastRenderedPageBreak/>
        <w:t>Change in registered circumstance</w:t>
      </w:r>
    </w:p>
    <w:p w14:paraId="608B714D" w14:textId="18518D3B" w:rsidR="00247DE0" w:rsidRPr="00502968" w:rsidRDefault="00247DE0" w:rsidP="005913E9">
      <w:pPr>
        <w:spacing w:after="220"/>
        <w:rPr>
          <w:rFonts w:cs="Calibri Light"/>
          <w:color w:val="000000"/>
          <w:szCs w:val="22"/>
        </w:rPr>
      </w:pPr>
      <w:r w:rsidRPr="00502968">
        <w:rPr>
          <w:rFonts w:cs="Calibri Light"/>
          <w:color w:val="000000"/>
          <w:szCs w:val="22"/>
        </w:rPr>
        <w:t xml:space="preserve">When you give a register notice because you acquired an interest </w:t>
      </w:r>
      <w:r w:rsidR="004574ED">
        <w:rPr>
          <w:rFonts w:cs="Calibri Light"/>
          <w:color w:val="000000"/>
          <w:szCs w:val="22"/>
        </w:rPr>
        <w:t xml:space="preserve">or otherwise took an action, </w:t>
      </w:r>
      <w:r w:rsidRPr="00502968">
        <w:rPr>
          <w:rFonts w:cs="Calibri Light"/>
          <w:color w:val="000000"/>
          <w:szCs w:val="22"/>
        </w:rPr>
        <w:t xml:space="preserve">or became a foreign person while holding an interest, a </w:t>
      </w:r>
      <w:proofErr w:type="gramStart"/>
      <w:r w:rsidRPr="00502968">
        <w:rPr>
          <w:rFonts w:cs="Calibri Light"/>
          <w:color w:val="000000"/>
          <w:szCs w:val="22"/>
        </w:rPr>
        <w:t>state of affairs</w:t>
      </w:r>
      <w:proofErr w:type="gramEnd"/>
      <w:r w:rsidRPr="00502968">
        <w:rPr>
          <w:rFonts w:cs="Calibri Light"/>
          <w:color w:val="000000"/>
          <w:szCs w:val="22"/>
        </w:rPr>
        <w:t xml:space="preserve"> known as a </w:t>
      </w:r>
      <w:r w:rsidR="003F2C1D">
        <w:rPr>
          <w:rFonts w:cs="Calibri Light"/>
          <w:color w:val="000000"/>
          <w:szCs w:val="22"/>
        </w:rPr>
        <w:t>‘</w:t>
      </w:r>
      <w:r w:rsidRPr="00502968">
        <w:rPr>
          <w:rFonts w:cs="Calibri Light"/>
          <w:color w:val="000000"/>
          <w:szCs w:val="22"/>
        </w:rPr>
        <w:t>registered circumstance</w:t>
      </w:r>
      <w:r w:rsidR="003F2C1D">
        <w:rPr>
          <w:rFonts w:cs="Calibri Light"/>
          <w:color w:val="000000"/>
          <w:szCs w:val="22"/>
        </w:rPr>
        <w:t>’</w:t>
      </w:r>
      <w:r w:rsidR="006228A4">
        <w:rPr>
          <w:rFonts w:cs="Calibri Light"/>
          <w:color w:val="000000"/>
          <w:szCs w:val="22"/>
        </w:rPr>
        <w:t xml:space="preserve"> may</w:t>
      </w:r>
      <w:r w:rsidRPr="00502968">
        <w:rPr>
          <w:rFonts w:cs="Calibri Light"/>
          <w:color w:val="000000"/>
          <w:szCs w:val="22"/>
        </w:rPr>
        <w:t xml:space="preserve"> arise.</w:t>
      </w:r>
      <w:r w:rsidRPr="00502968">
        <w:rPr>
          <w:rStyle w:val="FootnoteReference"/>
          <w:rFonts w:cs="Calibri Light"/>
          <w:color w:val="000000"/>
          <w:szCs w:val="22"/>
        </w:rPr>
        <w:footnoteReference w:id="24"/>
      </w:r>
    </w:p>
    <w:p w14:paraId="6086827E" w14:textId="77777777" w:rsidR="00247DE0" w:rsidRPr="00502968" w:rsidRDefault="00247DE0" w:rsidP="005913E9">
      <w:pPr>
        <w:spacing w:after="220"/>
        <w:rPr>
          <w:rFonts w:cs="Calibri Light"/>
          <w:color w:val="000000"/>
          <w:szCs w:val="22"/>
        </w:rPr>
      </w:pPr>
      <w:r w:rsidRPr="00502968">
        <w:rPr>
          <w:rFonts w:cs="Calibri Light"/>
          <w:color w:val="000000"/>
          <w:szCs w:val="22"/>
        </w:rPr>
        <w:t>If you are a foreign person, you must give a register notice if there is a registered circumstance that relates to you and:</w:t>
      </w:r>
    </w:p>
    <w:p w14:paraId="23490EB7" w14:textId="77777777" w:rsidR="00247DE0" w:rsidRPr="00502968" w:rsidRDefault="00247DE0" w:rsidP="00793163">
      <w:pPr>
        <w:pStyle w:val="Bullet"/>
      </w:pPr>
      <w:r w:rsidRPr="00502968">
        <w:t>the registered circumstance ceases and you are aware, or ought reasonably to have become aware, of the cessation;</w:t>
      </w:r>
      <w:r w:rsidRPr="00502968">
        <w:rPr>
          <w:rStyle w:val="FootnoteReference"/>
          <w:rFonts w:cs="Calibri Light"/>
          <w:color w:val="000000"/>
          <w:szCs w:val="22"/>
        </w:rPr>
        <w:footnoteReference w:id="25"/>
      </w:r>
      <w:r w:rsidRPr="00502968">
        <w:t xml:space="preserve"> or</w:t>
      </w:r>
    </w:p>
    <w:p w14:paraId="44C64E62" w14:textId="77777777" w:rsidR="00247DE0" w:rsidRPr="00502968" w:rsidRDefault="00247DE0" w:rsidP="00793163">
      <w:pPr>
        <w:pStyle w:val="Bullet"/>
      </w:pPr>
      <w:r w:rsidRPr="00502968">
        <w:t>you cease to be a foreign person.</w:t>
      </w:r>
      <w:r w:rsidRPr="00502968">
        <w:rPr>
          <w:rStyle w:val="FootnoteReference"/>
          <w:rFonts w:cs="Calibri Light"/>
          <w:color w:val="000000"/>
          <w:szCs w:val="22"/>
        </w:rPr>
        <w:footnoteReference w:id="26"/>
      </w:r>
    </w:p>
    <w:p w14:paraId="06B9DF85" w14:textId="7C203C32" w:rsidR="00247DE0" w:rsidRDefault="00247DE0" w:rsidP="005913E9">
      <w:pPr>
        <w:spacing w:before="0" w:after="220"/>
        <w:rPr>
          <w:rFonts w:cs="Calibri Light"/>
          <w:color w:val="000000"/>
          <w:szCs w:val="22"/>
        </w:rPr>
      </w:pPr>
      <w:r w:rsidRPr="00502968">
        <w:rPr>
          <w:rFonts w:cs="Calibri Light"/>
          <w:color w:val="000000"/>
          <w:szCs w:val="22"/>
        </w:rPr>
        <w:t>A registered circumstance generally ceases when you cease to hold the</w:t>
      </w:r>
      <w:r w:rsidR="004E3E9B">
        <w:rPr>
          <w:rFonts w:cs="Calibri Light"/>
          <w:color w:val="000000"/>
          <w:szCs w:val="22"/>
        </w:rPr>
        <w:t xml:space="preserve"> relevant</w:t>
      </w:r>
      <w:r w:rsidRPr="00502968">
        <w:rPr>
          <w:rFonts w:cs="Calibri Light"/>
          <w:color w:val="000000"/>
          <w:szCs w:val="22"/>
        </w:rPr>
        <w:t xml:space="preserve"> interest.</w:t>
      </w:r>
      <w:r w:rsidRPr="00502968">
        <w:rPr>
          <w:rStyle w:val="FootnoteReference"/>
          <w:rFonts w:cs="Calibri Light"/>
          <w:color w:val="000000"/>
          <w:szCs w:val="22"/>
        </w:rPr>
        <w:footnoteReference w:id="27"/>
      </w:r>
      <w:r w:rsidRPr="00502968">
        <w:rPr>
          <w:rFonts w:cs="Calibri Light"/>
          <w:color w:val="000000"/>
          <w:szCs w:val="22"/>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F6FF"/>
        <w:tblLook w:val="04A0" w:firstRow="1" w:lastRow="0" w:firstColumn="1" w:lastColumn="0" w:noHBand="0" w:noVBand="1"/>
      </w:tblPr>
      <w:tblGrid>
        <w:gridCol w:w="8504"/>
      </w:tblGrid>
      <w:tr w:rsidR="00247DE0" w:rsidRPr="00502968" w14:paraId="27CE3103" w14:textId="77777777" w:rsidTr="00441939">
        <w:trPr>
          <w:trHeight w:val="903"/>
        </w:trPr>
        <w:tc>
          <w:tcPr>
            <w:tcW w:w="5000" w:type="pct"/>
            <w:shd w:val="clear" w:color="auto" w:fill="E5F6FF"/>
            <w:tcMar>
              <w:top w:w="57" w:type="dxa"/>
              <w:left w:w="227" w:type="dxa"/>
              <w:bottom w:w="227" w:type="dxa"/>
              <w:right w:w="227" w:type="dxa"/>
            </w:tcMar>
          </w:tcPr>
          <w:p w14:paraId="23C0A398" w14:textId="0378C2F3" w:rsidR="00247DE0" w:rsidRPr="00502968" w:rsidRDefault="00247DE0" w:rsidP="006F2102">
            <w:pPr>
              <w:pStyle w:val="BoxHeading"/>
            </w:pPr>
            <w:r w:rsidRPr="00502968">
              <w:t xml:space="preserve">Example </w:t>
            </w:r>
            <w:r w:rsidR="00992531">
              <w:fldChar w:fldCharType="begin"/>
            </w:r>
            <w:r w:rsidR="00992531">
              <w:instrText xml:space="preserve"> SEQ ex \n \* MERGEFORMAT </w:instrText>
            </w:r>
            <w:r w:rsidR="00992531">
              <w:fldChar w:fldCharType="separate"/>
            </w:r>
            <w:r w:rsidR="00992531">
              <w:rPr>
                <w:noProof/>
              </w:rPr>
              <w:t>1</w:t>
            </w:r>
            <w:r w:rsidR="00992531">
              <w:rPr>
                <w:noProof/>
              </w:rPr>
              <w:fldChar w:fldCharType="end"/>
            </w:r>
          </w:p>
          <w:p w14:paraId="3050D37D" w14:textId="0BDDBAA5" w:rsidR="00247DE0" w:rsidRPr="00502968" w:rsidRDefault="00247DE0" w:rsidP="006F2102">
            <w:pPr>
              <w:pStyle w:val="BoxText"/>
            </w:pPr>
            <w:r w:rsidRPr="00502968">
              <w:t>A foreign person acquired a</w:t>
            </w:r>
            <w:r w:rsidR="00332142">
              <w:t xml:space="preserve"> </w:t>
            </w:r>
            <w:r w:rsidR="00332142" w:rsidRPr="006F2102">
              <w:t>legal</w:t>
            </w:r>
            <w:r w:rsidRPr="00502968">
              <w:t xml:space="preserve"> freehold interest in Australian land and gave a register notice in relation to the acquisition. When the foreign person sells the land, the registered circumstance that arose when the initial register notice was given will cease and a register notice in relation to the sale will be required.</w:t>
            </w:r>
          </w:p>
        </w:tc>
      </w:tr>
    </w:tbl>
    <w:p w14:paraId="292C57F5" w14:textId="77777777" w:rsidR="00FE5E4A" w:rsidRPr="00361D29" w:rsidRDefault="00FE5E4A" w:rsidP="00361D29">
      <w:r w:rsidRPr="00361D29">
        <w:br w:type="page"/>
      </w:r>
    </w:p>
    <w:p w14:paraId="44AB980C" w14:textId="43943E71" w:rsidR="005C192E" w:rsidRDefault="005C192E" w:rsidP="005913E9">
      <w:pPr>
        <w:pStyle w:val="Heading3"/>
        <w:spacing w:line="240" w:lineRule="auto"/>
      </w:pPr>
      <w:r>
        <w:lastRenderedPageBreak/>
        <w:t xml:space="preserve">Change </w:t>
      </w:r>
      <w:r w:rsidR="00D42955">
        <w:t>in nature of interest in land or exploration tenement</w:t>
      </w:r>
    </w:p>
    <w:p w14:paraId="11EF4F44" w14:textId="77777777" w:rsidR="004158E5" w:rsidRPr="00F52CB5" w:rsidRDefault="004158E5" w:rsidP="006F2102">
      <w:r w:rsidRPr="00F52CB5">
        <w:t>If you are a foreign person, you must give a register notice if:</w:t>
      </w:r>
    </w:p>
    <w:p w14:paraId="24C08E57" w14:textId="77777777" w:rsidR="004158E5" w:rsidRPr="00F52CB5" w:rsidRDefault="004158E5" w:rsidP="006F2102">
      <w:pPr>
        <w:pStyle w:val="Bullet"/>
      </w:pPr>
      <w:r w:rsidRPr="00F52CB5">
        <w:t>a registered circumstance exists in relation to you; and</w:t>
      </w:r>
    </w:p>
    <w:p w14:paraId="70889D64" w14:textId="1F97CA6D" w:rsidR="00DD0A8C" w:rsidRDefault="004158E5" w:rsidP="006F2102">
      <w:pPr>
        <w:pStyle w:val="Bullet"/>
      </w:pPr>
      <w:r w:rsidRPr="00F52CB5">
        <w:t>you hold an interest in</w:t>
      </w:r>
      <w:r w:rsidR="00DD0A8C">
        <w:t xml:space="preserve"> residential, commercial, or agricultural land, or a mining or production or exploration tenement; and </w:t>
      </w:r>
    </w:p>
    <w:p w14:paraId="70E4BC35" w14:textId="5D751A8E" w:rsidR="004158E5" w:rsidRPr="00F52CB5" w:rsidRDefault="004158E5" w:rsidP="006F2102">
      <w:pPr>
        <w:pStyle w:val="Bullet"/>
      </w:pPr>
      <w:r w:rsidRPr="00F52CB5">
        <w:t xml:space="preserve">while the registered circumstance exists, the interest you hold becomes an interest of a </w:t>
      </w:r>
      <w:r w:rsidR="001136CC">
        <w:t>new</w:t>
      </w:r>
      <w:r w:rsidR="001136CC" w:rsidRPr="00F52CB5">
        <w:t xml:space="preserve"> </w:t>
      </w:r>
      <w:r w:rsidRPr="00F52CB5">
        <w:t>kind (for example, an interest in agricultural land becomes an interest in residential land); and</w:t>
      </w:r>
    </w:p>
    <w:p w14:paraId="6EDAC85E" w14:textId="73C948F8" w:rsidR="00462FD3" w:rsidRPr="003247CB" w:rsidRDefault="004158E5" w:rsidP="006F2102">
      <w:pPr>
        <w:pStyle w:val="Bullet"/>
      </w:pPr>
      <w:r w:rsidRPr="00F52CB5">
        <w:t>you are aware, or ought reasonably to have become aware, of this change.</w:t>
      </w:r>
      <w:r w:rsidRPr="00F52CB5">
        <w:rPr>
          <w:rStyle w:val="FootnoteReference"/>
          <w:rFonts w:cs="Calibri Light"/>
          <w:color w:val="000000"/>
          <w:szCs w:val="22"/>
        </w:rPr>
        <w:footnoteReference w:id="28"/>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F6FF"/>
        <w:tblLook w:val="04A0" w:firstRow="1" w:lastRow="0" w:firstColumn="1" w:lastColumn="0" w:noHBand="0" w:noVBand="1"/>
      </w:tblPr>
      <w:tblGrid>
        <w:gridCol w:w="8504"/>
      </w:tblGrid>
      <w:tr w:rsidR="004158E5" w:rsidRPr="00F52CB5" w14:paraId="2586D2D0" w14:textId="77777777" w:rsidTr="00673A08">
        <w:trPr>
          <w:trHeight w:val="1849"/>
        </w:trPr>
        <w:tc>
          <w:tcPr>
            <w:tcW w:w="5000" w:type="pct"/>
            <w:shd w:val="clear" w:color="auto" w:fill="E5F6FF"/>
            <w:tcMar>
              <w:top w:w="57" w:type="dxa"/>
              <w:left w:w="227" w:type="dxa"/>
              <w:bottom w:w="227" w:type="dxa"/>
              <w:right w:w="227" w:type="dxa"/>
            </w:tcMar>
          </w:tcPr>
          <w:p w14:paraId="52C6EFFA" w14:textId="671444DE" w:rsidR="004158E5" w:rsidRPr="00F52CB5" w:rsidRDefault="004158E5" w:rsidP="00673A08">
            <w:pPr>
              <w:pStyle w:val="BoxHeading"/>
            </w:pPr>
            <w:r w:rsidRPr="00F52CB5">
              <w:t>Example</w:t>
            </w:r>
            <w:r w:rsidR="00173578">
              <w:t xml:space="preserve"> </w:t>
            </w:r>
            <w:r w:rsidR="00992531">
              <w:fldChar w:fldCharType="begin"/>
            </w:r>
            <w:r w:rsidR="00992531">
              <w:instrText xml:space="preserve"> SEQ ex \n \* MERGEFORMAT </w:instrText>
            </w:r>
            <w:r w:rsidR="00992531">
              <w:fldChar w:fldCharType="separate"/>
            </w:r>
            <w:r w:rsidR="00992531">
              <w:rPr>
                <w:noProof/>
              </w:rPr>
              <w:t>2</w:t>
            </w:r>
            <w:r w:rsidR="00992531">
              <w:rPr>
                <w:noProof/>
              </w:rPr>
              <w:fldChar w:fldCharType="end"/>
            </w:r>
          </w:p>
          <w:p w14:paraId="34F13B90" w14:textId="45AA1223" w:rsidR="00830E82" w:rsidRPr="00F52CB5" w:rsidRDefault="004158E5" w:rsidP="00673A08">
            <w:pPr>
              <w:pStyle w:val="BoxText"/>
            </w:pPr>
            <w:r w:rsidRPr="00F52CB5">
              <w:t xml:space="preserve">A foreign person acquired a </w:t>
            </w:r>
            <w:r w:rsidR="00DA30DF">
              <w:t xml:space="preserve">legal </w:t>
            </w:r>
            <w:r w:rsidRPr="00F52CB5">
              <w:t>freehold interest in commercial land and gave a register notice in relation to the acquisition. As a result of the completion of a housing development on the land, the land becomes residential land on 30 August. If, on 1</w:t>
            </w:r>
            <w:r w:rsidR="00BD19C4">
              <w:t> </w:t>
            </w:r>
            <w:r w:rsidRPr="00F52CB5">
              <w:t>September, the foreign person becomes aware that the interest has become an interest in residential land, a register notice must be given within 30 days of 1 September</w:t>
            </w:r>
            <w:r w:rsidR="006F2102">
              <w:t xml:space="preserve">. </w:t>
            </w:r>
          </w:p>
        </w:tc>
      </w:tr>
    </w:tbl>
    <w:p w14:paraId="4ECB6D86" w14:textId="19599EFF" w:rsidR="00E15040" w:rsidRDefault="00E15040" w:rsidP="005913E9">
      <w:pPr>
        <w:pStyle w:val="Heading3"/>
        <w:spacing w:line="240" w:lineRule="auto"/>
      </w:pPr>
      <w:r>
        <w:t xml:space="preserve">Change in </w:t>
      </w:r>
      <w:r w:rsidR="006E1C12">
        <w:t>certain characteristics of a registrable water interest</w:t>
      </w:r>
    </w:p>
    <w:p w14:paraId="3BDE33F3" w14:textId="77777777" w:rsidR="00907EA1" w:rsidRPr="008866F7" w:rsidRDefault="00907EA1" w:rsidP="008C1688">
      <w:pPr>
        <w:spacing w:after="0"/>
        <w:rPr>
          <w:rFonts w:cs="Calibri Light"/>
          <w:color w:val="000000"/>
          <w:szCs w:val="22"/>
        </w:rPr>
      </w:pPr>
      <w:r w:rsidRPr="008866F7">
        <w:rPr>
          <w:rFonts w:cs="Calibri Light"/>
          <w:color w:val="000000"/>
          <w:szCs w:val="22"/>
        </w:rPr>
        <w:t>If you are a foreign person, you must give a register notice if:</w:t>
      </w:r>
      <w:r w:rsidRPr="008866F7">
        <w:rPr>
          <w:rStyle w:val="FootnoteReference"/>
          <w:rFonts w:cs="Calibri Light"/>
          <w:color w:val="000000"/>
          <w:szCs w:val="22"/>
        </w:rPr>
        <w:t xml:space="preserve"> </w:t>
      </w:r>
      <w:r w:rsidRPr="008866F7">
        <w:rPr>
          <w:rStyle w:val="FootnoteReference"/>
          <w:rFonts w:cs="Calibri Light"/>
          <w:color w:val="000000"/>
          <w:szCs w:val="22"/>
        </w:rPr>
        <w:footnoteReference w:id="29"/>
      </w:r>
    </w:p>
    <w:p w14:paraId="567BD382" w14:textId="77777777" w:rsidR="00907EA1" w:rsidRPr="008866F7" w:rsidRDefault="00907EA1" w:rsidP="00673A08">
      <w:pPr>
        <w:pStyle w:val="Bullet"/>
      </w:pPr>
      <w:r w:rsidRPr="008866F7">
        <w:t>a registered circumstance exists in relation to you that relates to a registrable water interest; and</w:t>
      </w:r>
    </w:p>
    <w:p w14:paraId="676E0115" w14:textId="77777777" w:rsidR="00907EA1" w:rsidRPr="008866F7" w:rsidRDefault="00907EA1" w:rsidP="00673A08">
      <w:pPr>
        <w:pStyle w:val="Bullet"/>
      </w:pPr>
      <w:r w:rsidRPr="008866F7">
        <w:t>on any day or days in a financial year, the volume of water or the share of a water resource referred to in the registrable water interest changes; and</w:t>
      </w:r>
    </w:p>
    <w:p w14:paraId="022C8130" w14:textId="77777777" w:rsidR="00907EA1" w:rsidRPr="008866F7" w:rsidRDefault="00907EA1" w:rsidP="00673A08">
      <w:pPr>
        <w:pStyle w:val="Bullet"/>
      </w:pPr>
      <w:r w:rsidRPr="008866F7">
        <w:t>you hold the registrable water interest at the end of the last day of the financial year.</w:t>
      </w:r>
    </w:p>
    <w:p w14:paraId="5DC944D8" w14:textId="29572419" w:rsidR="00F643F2" w:rsidRDefault="00F643F2" w:rsidP="005913E9">
      <w:pPr>
        <w:pStyle w:val="Heading3"/>
        <w:spacing w:line="240" w:lineRule="auto"/>
      </w:pPr>
      <w:r>
        <w:t xml:space="preserve">Change in </w:t>
      </w:r>
      <w:r w:rsidR="004307AF">
        <w:t>size of interest in an entity or business</w:t>
      </w:r>
    </w:p>
    <w:p w14:paraId="0A72FB8B" w14:textId="77777777" w:rsidR="00C73D55" w:rsidRPr="006661FF" w:rsidRDefault="00C73D55" w:rsidP="00824C83">
      <w:pPr>
        <w:spacing w:after="0"/>
        <w:rPr>
          <w:rFonts w:cs="Calibri Light"/>
          <w:color w:val="000000"/>
          <w:szCs w:val="22"/>
        </w:rPr>
      </w:pPr>
      <w:r w:rsidRPr="006661FF">
        <w:rPr>
          <w:rFonts w:cs="Calibri Light"/>
          <w:color w:val="000000"/>
          <w:szCs w:val="22"/>
        </w:rPr>
        <w:t>If you are a foreign person, you must give a register notice if:</w:t>
      </w:r>
    </w:p>
    <w:p w14:paraId="7828BED6" w14:textId="77777777" w:rsidR="00C73D55" w:rsidRPr="006661FF" w:rsidRDefault="00C73D55" w:rsidP="00673A08">
      <w:pPr>
        <w:pStyle w:val="Bullet"/>
      </w:pPr>
      <w:r w:rsidRPr="006661FF">
        <w:t>a registered circumstance exists in relation to you that relates to an interest in an entity or business; and</w:t>
      </w:r>
    </w:p>
    <w:p w14:paraId="4E2E128D" w14:textId="1A6B1ACF" w:rsidR="00C73D55" w:rsidRPr="006661FF" w:rsidRDefault="00C73D55" w:rsidP="00673A08">
      <w:pPr>
        <w:pStyle w:val="Bullet"/>
      </w:pPr>
      <w:r w:rsidRPr="006661FF">
        <w:t>the percentage interest that you hold in the entity or business differs by 5</w:t>
      </w:r>
      <w:r w:rsidR="00BD19C4">
        <w:t> </w:t>
      </w:r>
      <w:r w:rsidRPr="006661FF">
        <w:t>per</w:t>
      </w:r>
      <w:r w:rsidR="00BD19C4">
        <w:t> </w:t>
      </w:r>
      <w:r w:rsidRPr="006661FF">
        <w:t xml:space="preserve">cent or more from the percentage recorded </w:t>
      </w:r>
      <w:r w:rsidR="00AE708E">
        <w:t>o</w:t>
      </w:r>
      <w:r w:rsidRPr="006661FF">
        <w:t>n the Register; and</w:t>
      </w:r>
    </w:p>
    <w:p w14:paraId="588A79F9" w14:textId="77777777" w:rsidR="00C73D55" w:rsidRPr="006661FF" w:rsidRDefault="00C73D55" w:rsidP="00673A08">
      <w:pPr>
        <w:pStyle w:val="Bullet"/>
      </w:pPr>
      <w:r w:rsidRPr="006661FF">
        <w:t>you are aware, or ought reasonably to have become aware, of this change.</w:t>
      </w:r>
      <w:r w:rsidRPr="006661FF">
        <w:rPr>
          <w:rStyle w:val="FootnoteReference"/>
          <w:rFonts w:cs="Calibri Light"/>
          <w:color w:val="000000"/>
          <w:szCs w:val="22"/>
        </w:rPr>
        <w:footnoteReference w:id="30"/>
      </w:r>
    </w:p>
    <w:p w14:paraId="06DB1D65" w14:textId="2A7B1F45" w:rsidR="00D82F91" w:rsidRPr="00311D12" w:rsidRDefault="00923B1C" w:rsidP="00673A08">
      <w:pPr>
        <w:pStyle w:val="Heading2"/>
      </w:pPr>
      <w:bookmarkStart w:id="7" w:name="_Toc140150188"/>
      <w:r>
        <w:lastRenderedPageBreak/>
        <w:t>D</w:t>
      </w:r>
      <w:r w:rsidR="00D82F91" w:rsidRPr="008A56BD">
        <w:t xml:space="preserve">: </w:t>
      </w:r>
      <w:r w:rsidR="001C1BF5">
        <w:t xml:space="preserve">When register </w:t>
      </w:r>
      <w:r w:rsidR="001C1BF5" w:rsidRPr="00673A08">
        <w:t>notices</w:t>
      </w:r>
      <w:r w:rsidR="001C1BF5">
        <w:t xml:space="preserve"> are due</w:t>
      </w:r>
      <w:bookmarkEnd w:id="7"/>
    </w:p>
    <w:p w14:paraId="741EA74A" w14:textId="436D1023" w:rsidR="00475714" w:rsidRDefault="00A473A3" w:rsidP="005913E9">
      <w:r>
        <w:t xml:space="preserve">The date on </w:t>
      </w:r>
      <w:r w:rsidR="00BC16A9" w:rsidRPr="00BC16A9">
        <w:t xml:space="preserve">which a register notice is due is usually within 30 days after a particular day (known as the </w:t>
      </w:r>
      <w:r w:rsidR="003F2C1D">
        <w:t>‘</w:t>
      </w:r>
      <w:r w:rsidR="00BC16A9" w:rsidRPr="00BC16A9">
        <w:t>registrable event day</w:t>
      </w:r>
      <w:r w:rsidR="003F2C1D">
        <w:t>’</w:t>
      </w:r>
      <w:r w:rsidR="00BC16A9" w:rsidRPr="00BC16A9">
        <w:t>)</w:t>
      </w:r>
      <w:r w:rsidR="00C42765">
        <w:t>, with day one being the day after the registrable event day.</w:t>
      </w:r>
      <w:r w:rsidR="00C42765">
        <w:rPr>
          <w:rStyle w:val="FootnoteReference"/>
        </w:rPr>
        <w:footnoteReference w:id="31"/>
      </w:r>
    </w:p>
    <w:p w14:paraId="06E21281" w14:textId="7BDCE1B0" w:rsidR="00A473A3" w:rsidRDefault="00897157" w:rsidP="005913E9">
      <w:pPr>
        <w:pStyle w:val="Heading3"/>
        <w:spacing w:line="240" w:lineRule="auto"/>
      </w:pPr>
      <w:r>
        <w:t>When is a register notice in relation to an interest in Australian land due?</w:t>
      </w:r>
      <w:r w:rsidR="00F77190">
        <w:rPr>
          <w:rStyle w:val="FootnoteReference"/>
        </w:rPr>
        <w:footnoteReference w:id="32"/>
      </w:r>
    </w:p>
    <w:tbl>
      <w:tblPr>
        <w:tblStyle w:val="TableGrid"/>
        <w:tblpPr w:leftFromText="180" w:rightFromText="180" w:vertAnchor="text" w:horzAnchor="margin" w:tblpY="85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F6FF"/>
        <w:tblLook w:val="04A0" w:firstRow="1" w:lastRow="0" w:firstColumn="1" w:lastColumn="0" w:noHBand="0" w:noVBand="1"/>
      </w:tblPr>
      <w:tblGrid>
        <w:gridCol w:w="8504"/>
      </w:tblGrid>
      <w:tr w:rsidR="00FC2EE8" w:rsidRPr="00F526D0" w14:paraId="077DAE52" w14:textId="77777777" w:rsidTr="00FC2EE8">
        <w:trPr>
          <w:trHeight w:val="903"/>
        </w:trPr>
        <w:tc>
          <w:tcPr>
            <w:tcW w:w="8504" w:type="dxa"/>
            <w:shd w:val="clear" w:color="auto" w:fill="E5F6FF"/>
            <w:tcMar>
              <w:top w:w="57" w:type="dxa"/>
              <w:left w:w="227" w:type="dxa"/>
              <w:bottom w:w="227" w:type="dxa"/>
              <w:right w:w="227" w:type="dxa"/>
            </w:tcMar>
          </w:tcPr>
          <w:p w14:paraId="2FB76C20" w14:textId="77013998" w:rsidR="00FC2EE8" w:rsidRPr="00F526D0" w:rsidRDefault="00FC2EE8" w:rsidP="00FC2EE8">
            <w:pPr>
              <w:pStyle w:val="BoxHeading"/>
            </w:pPr>
            <w:r w:rsidRPr="00F526D0">
              <w:t xml:space="preserve">Example </w:t>
            </w:r>
            <w:r w:rsidR="00992531">
              <w:fldChar w:fldCharType="begin"/>
            </w:r>
            <w:r w:rsidR="00992531">
              <w:instrText xml:space="preserve"> SEQ ex \n \* MERGEFORMAT </w:instrText>
            </w:r>
            <w:r w:rsidR="00992531">
              <w:fldChar w:fldCharType="separate"/>
            </w:r>
            <w:r w:rsidR="00992531">
              <w:rPr>
                <w:noProof/>
              </w:rPr>
              <w:t>3</w:t>
            </w:r>
            <w:r w:rsidR="00992531">
              <w:rPr>
                <w:noProof/>
              </w:rPr>
              <w:fldChar w:fldCharType="end"/>
            </w:r>
          </w:p>
          <w:p w14:paraId="2ABBD0FB" w14:textId="77777777" w:rsidR="00FC2EE8" w:rsidRPr="00F526D0" w:rsidRDefault="00FC2EE8" w:rsidP="00FC2EE8">
            <w:pPr>
              <w:pStyle w:val="BoxText"/>
            </w:pPr>
            <w:r w:rsidRPr="00F526D0">
              <w:t xml:space="preserve">A foreign person received </w:t>
            </w:r>
            <w:r>
              <w:t>a no objection notification to take a significant action</w:t>
            </w:r>
            <w:r w:rsidRPr="00F526D0">
              <w:t xml:space="preserve"> to acquire a </w:t>
            </w:r>
            <w:r>
              <w:t xml:space="preserve">legal </w:t>
            </w:r>
            <w:r w:rsidRPr="00F526D0">
              <w:t>freehold interest in residential land on 1 February and sign</w:t>
            </w:r>
            <w:r>
              <w:t>ed</w:t>
            </w:r>
            <w:r w:rsidRPr="00F526D0">
              <w:t xml:space="preserve"> a contract for sale on 1</w:t>
            </w:r>
            <w:r>
              <w:t> </w:t>
            </w:r>
            <w:r w:rsidRPr="00F526D0">
              <w:t>March. The property settled on 1 April. A register notice is required within 30 days of 1</w:t>
            </w:r>
            <w:r>
              <w:t> </w:t>
            </w:r>
            <w:r w:rsidRPr="00F526D0">
              <w:t xml:space="preserve">April because that was the day on which the interest </w:t>
            </w:r>
            <w:r>
              <w:t xml:space="preserve">in Australian land covered by Part 7A of the Act </w:t>
            </w:r>
            <w:r w:rsidRPr="00F526D0">
              <w:t xml:space="preserve">was acquired. </w:t>
            </w:r>
          </w:p>
          <w:p w14:paraId="024D005C" w14:textId="21CB6E59" w:rsidR="00FC2EE8" w:rsidRPr="00F526D0" w:rsidRDefault="00FC2EE8" w:rsidP="00FC2EE8">
            <w:pPr>
              <w:pStyle w:val="BoxHeading"/>
            </w:pPr>
            <w:r w:rsidRPr="00F526D0">
              <w:t xml:space="preserve">Example </w:t>
            </w:r>
            <w:r w:rsidR="00992531">
              <w:fldChar w:fldCharType="begin"/>
            </w:r>
            <w:r w:rsidR="00992531">
              <w:instrText xml:space="preserve"> SEQ ex \n \* MERGEFORMAT </w:instrText>
            </w:r>
            <w:r w:rsidR="00992531">
              <w:fldChar w:fldCharType="separate"/>
            </w:r>
            <w:r w:rsidR="00992531">
              <w:rPr>
                <w:noProof/>
              </w:rPr>
              <w:t>4</w:t>
            </w:r>
            <w:r w:rsidR="00992531">
              <w:rPr>
                <w:noProof/>
              </w:rPr>
              <w:fldChar w:fldCharType="end"/>
            </w:r>
          </w:p>
          <w:p w14:paraId="5F136E5C" w14:textId="77777777" w:rsidR="00FC2EE8" w:rsidRPr="00F526D0" w:rsidRDefault="00FC2EE8" w:rsidP="00FC2EE8">
            <w:pPr>
              <w:pStyle w:val="BoxText"/>
            </w:pPr>
            <w:proofErr w:type="spellStart"/>
            <w:r w:rsidRPr="00F526D0">
              <w:t>ExampleCo</w:t>
            </w:r>
            <w:proofErr w:type="spellEnd"/>
            <w:r w:rsidRPr="00F526D0">
              <w:t xml:space="preserve"> Pty Ltd is an Australian</w:t>
            </w:r>
            <w:r>
              <w:noBreakHyphen/>
            </w:r>
            <w:r w:rsidRPr="00F526D0">
              <w:t>owned company which holds a</w:t>
            </w:r>
            <w:r>
              <w:t xml:space="preserve"> legal</w:t>
            </w:r>
            <w:r w:rsidRPr="00F526D0">
              <w:t xml:space="preserve"> freehold interest in commercial land. A New Zealand company unconditionally agrees to acquire </w:t>
            </w:r>
            <w:proofErr w:type="spellStart"/>
            <w:r w:rsidRPr="00F526D0">
              <w:t>ExampleCo</w:t>
            </w:r>
            <w:proofErr w:type="spellEnd"/>
            <w:r w:rsidRPr="00F526D0">
              <w:t xml:space="preserve"> Pty Ltd on 1 March and </w:t>
            </w:r>
            <w:r>
              <w:t>subsequently</w:t>
            </w:r>
            <w:r w:rsidRPr="00F526D0">
              <w:t xml:space="preserve"> acquires the shares in </w:t>
            </w:r>
            <w:proofErr w:type="spellStart"/>
            <w:r w:rsidRPr="00F526D0">
              <w:t>ExampleCo</w:t>
            </w:r>
            <w:proofErr w:type="spellEnd"/>
            <w:r w:rsidRPr="00F526D0">
              <w:t xml:space="preserve"> Pty Ltd on 1</w:t>
            </w:r>
            <w:r>
              <w:t> </w:t>
            </w:r>
            <w:r w:rsidRPr="00F526D0">
              <w:t xml:space="preserve">May. </w:t>
            </w:r>
            <w:proofErr w:type="spellStart"/>
            <w:r w:rsidRPr="00F526D0">
              <w:t>ExampleCo</w:t>
            </w:r>
            <w:proofErr w:type="spellEnd"/>
            <w:r w:rsidRPr="00F526D0">
              <w:t xml:space="preserve"> Pty Ltd is required to give a register notice within 30 days of 1 May because on 1</w:t>
            </w:r>
            <w:r>
              <w:t> </w:t>
            </w:r>
            <w:r w:rsidRPr="00F526D0">
              <w:t xml:space="preserve">May it </w:t>
            </w:r>
            <w:r w:rsidRPr="00F526D0">
              <w:rPr>
                <w:color w:val="000000"/>
              </w:rPr>
              <w:t>became a foreign person while holding an interest in Australian land</w:t>
            </w:r>
            <w:r>
              <w:t xml:space="preserve"> covered by Part 7A of the Act.</w:t>
            </w:r>
          </w:p>
        </w:tc>
      </w:tr>
    </w:tbl>
    <w:p w14:paraId="2D99A9DE" w14:textId="469503F1" w:rsidR="003F742D" w:rsidRPr="00F526D0" w:rsidRDefault="003F742D" w:rsidP="008A3567">
      <w:pPr>
        <w:spacing w:after="220"/>
        <w:rPr>
          <w:rFonts w:cs="Calibri Light"/>
          <w:color w:val="000000"/>
          <w:szCs w:val="22"/>
        </w:rPr>
      </w:pPr>
      <w:r w:rsidRPr="00F526D0">
        <w:rPr>
          <w:rFonts w:cs="Calibri Light"/>
          <w:color w:val="000000"/>
          <w:szCs w:val="22"/>
        </w:rPr>
        <w:t xml:space="preserve">You must give a register notice in relation to an interest in Australian land </w:t>
      </w:r>
      <w:r w:rsidR="006B6C44">
        <w:rPr>
          <w:rFonts w:cs="Calibri Light"/>
          <w:color w:val="000000"/>
          <w:szCs w:val="22"/>
        </w:rPr>
        <w:t xml:space="preserve">covered by Part 7A of the Act </w:t>
      </w:r>
      <w:r w:rsidRPr="00F526D0">
        <w:rPr>
          <w:rFonts w:cs="Calibri Light"/>
          <w:color w:val="000000"/>
          <w:szCs w:val="22"/>
        </w:rPr>
        <w:t>within 30 days of the day you acquired the interest or became a foreign person.</w:t>
      </w:r>
      <w:r w:rsidRPr="00F526D0">
        <w:rPr>
          <w:rStyle w:val="FootnoteReference"/>
          <w:rFonts w:cs="Calibri Light"/>
          <w:color w:val="000000"/>
          <w:szCs w:val="22"/>
        </w:rPr>
        <w:footnoteReference w:id="33"/>
      </w:r>
    </w:p>
    <w:p w14:paraId="7B166969" w14:textId="5EAF67D2" w:rsidR="003F742D" w:rsidRDefault="003F742D" w:rsidP="005913E9">
      <w:pPr>
        <w:spacing w:before="0" w:after="220"/>
        <w:rPr>
          <w:rFonts w:cs="Calibri Light"/>
          <w:color w:val="000000"/>
          <w:szCs w:val="22"/>
        </w:rPr>
      </w:pPr>
      <w:r w:rsidRPr="00A027D2">
        <w:rPr>
          <w:rFonts w:cs="Calibri Light"/>
          <w:color w:val="000000"/>
          <w:szCs w:val="22"/>
        </w:rPr>
        <w:t>For freehold interests in land, the day you acquire the interest is the day of settlement. For leasehold interests in land, the day you acquire the interest is the</w:t>
      </w:r>
      <w:r w:rsidR="007277C9" w:rsidRPr="007277C9">
        <w:rPr>
          <w:rFonts w:cs="Calibri Light"/>
          <w:color w:val="000000"/>
          <w:szCs w:val="22"/>
        </w:rPr>
        <w:t xml:space="preserve"> </w:t>
      </w:r>
      <w:r w:rsidR="007277C9">
        <w:rPr>
          <w:rFonts w:cs="Calibri Light"/>
          <w:color w:val="000000"/>
          <w:szCs w:val="22"/>
        </w:rPr>
        <w:t>earlier of</w:t>
      </w:r>
      <w:r w:rsidRPr="00A027D2">
        <w:rPr>
          <w:rFonts w:cs="Calibri Light"/>
          <w:color w:val="000000"/>
          <w:szCs w:val="22"/>
        </w:rPr>
        <w:t xml:space="preserve"> </w:t>
      </w:r>
      <w:r w:rsidR="007277C9">
        <w:rPr>
          <w:rFonts w:cs="Calibri Light"/>
          <w:color w:val="000000"/>
          <w:szCs w:val="22"/>
        </w:rPr>
        <w:t xml:space="preserve">the </w:t>
      </w:r>
      <w:r w:rsidRPr="00A027D2">
        <w:rPr>
          <w:rFonts w:cs="Calibri Light"/>
          <w:color w:val="000000"/>
          <w:szCs w:val="22"/>
        </w:rPr>
        <w:t>day the lease commences</w:t>
      </w:r>
      <w:r w:rsidR="007277C9">
        <w:rPr>
          <w:rFonts w:cs="Calibri Light"/>
          <w:color w:val="000000"/>
          <w:szCs w:val="22"/>
        </w:rPr>
        <w:t xml:space="preserve"> or the day the lease is registered</w:t>
      </w:r>
      <w:r w:rsidR="00BC335A">
        <w:rPr>
          <w:rFonts w:cs="Calibri Light"/>
          <w:color w:val="000000"/>
          <w:szCs w:val="22"/>
        </w:rPr>
        <w:t>.</w:t>
      </w:r>
      <w:r w:rsidR="007277C9">
        <w:rPr>
          <w:rFonts w:cs="Calibri Light"/>
          <w:color w:val="000000"/>
          <w:szCs w:val="22"/>
        </w:rPr>
        <w:t xml:space="preserve"> </w:t>
      </w:r>
    </w:p>
    <w:p w14:paraId="5511A5D7" w14:textId="1BB827D9" w:rsidR="00CB6407" w:rsidRPr="00B47BAD" w:rsidRDefault="00CB6407" w:rsidP="005913E9">
      <w:pPr>
        <w:pStyle w:val="Heading3"/>
        <w:spacing w:line="240" w:lineRule="auto"/>
        <w:rPr>
          <w:szCs w:val="28"/>
        </w:rPr>
      </w:pPr>
      <w:r w:rsidRPr="00B47BAD">
        <w:rPr>
          <w:szCs w:val="28"/>
        </w:rPr>
        <w:lastRenderedPageBreak/>
        <w:t xml:space="preserve">When is a register notice in relation to an interest in </w:t>
      </w:r>
      <w:r w:rsidR="00A731F9" w:rsidRPr="00B47BAD">
        <w:rPr>
          <w:szCs w:val="28"/>
        </w:rPr>
        <w:t>an exploration tenement</w:t>
      </w:r>
      <w:r w:rsidRPr="00B47BAD">
        <w:rPr>
          <w:szCs w:val="28"/>
        </w:rPr>
        <w:t xml:space="preserve"> due?</w:t>
      </w:r>
      <w:r w:rsidR="00867449" w:rsidRPr="00867449">
        <w:rPr>
          <w:rStyle w:val="FootnoteReference"/>
        </w:rPr>
        <w:t xml:space="preserve"> </w:t>
      </w:r>
      <w:r w:rsidR="00867449">
        <w:rPr>
          <w:rStyle w:val="FootnoteReference"/>
        </w:rPr>
        <w:footnoteReference w:id="34"/>
      </w:r>
    </w:p>
    <w:p w14:paraId="74BEE1E6" w14:textId="01D39817" w:rsidR="0076596D" w:rsidRDefault="0076596D" w:rsidP="002A4916">
      <w:pPr>
        <w:spacing w:after="220"/>
        <w:rPr>
          <w:rFonts w:cs="Calibri Light"/>
          <w:color w:val="000000"/>
          <w:szCs w:val="22"/>
        </w:rPr>
      </w:pPr>
      <w:r w:rsidRPr="00D37849">
        <w:rPr>
          <w:rFonts w:cs="Calibri Light"/>
          <w:color w:val="000000"/>
          <w:szCs w:val="22"/>
        </w:rPr>
        <w:t>You must give a register notice in relation to a</w:t>
      </w:r>
      <w:r w:rsidR="007353B9">
        <w:rPr>
          <w:rFonts w:cs="Calibri Light"/>
          <w:color w:val="000000"/>
          <w:szCs w:val="22"/>
        </w:rPr>
        <w:t xml:space="preserve"> legal</w:t>
      </w:r>
      <w:r w:rsidRPr="00D37849">
        <w:rPr>
          <w:rFonts w:cs="Calibri Light"/>
          <w:color w:val="000000"/>
          <w:szCs w:val="22"/>
        </w:rPr>
        <w:t xml:space="preserve"> interest in an exploration tenement within 30 days of the day you acquired the interest or became a foreign person.</w:t>
      </w:r>
      <w:r w:rsidRPr="00D37849">
        <w:rPr>
          <w:rStyle w:val="FootnoteReference"/>
          <w:rFonts w:cs="Calibri Light"/>
          <w:color w:val="000000"/>
          <w:szCs w:val="22"/>
        </w:rPr>
        <w:footnoteReference w:id="35"/>
      </w:r>
    </w:p>
    <w:p w14:paraId="514A1483" w14:textId="6848AD66" w:rsidR="009A5A32" w:rsidRDefault="009A5A32" w:rsidP="002C4C4B">
      <w:pPr>
        <w:pStyle w:val="Heading3"/>
        <w:spacing w:before="0" w:line="240" w:lineRule="auto"/>
        <w:rPr>
          <w:szCs w:val="28"/>
        </w:rPr>
      </w:pPr>
      <w:r w:rsidRPr="00B47BAD">
        <w:rPr>
          <w:szCs w:val="28"/>
        </w:rPr>
        <w:t xml:space="preserve">When is a register notice in relation to </w:t>
      </w:r>
      <w:r w:rsidR="00454271">
        <w:rPr>
          <w:szCs w:val="28"/>
        </w:rPr>
        <w:t>a registrable water interest due?</w:t>
      </w:r>
    </w:p>
    <w:p w14:paraId="4DD1C016" w14:textId="77777777" w:rsidR="00921C35" w:rsidRPr="00D37849" w:rsidRDefault="00921C35" w:rsidP="000143D1">
      <w:pPr>
        <w:spacing w:after="220"/>
        <w:rPr>
          <w:rFonts w:cs="Calibri Light"/>
          <w:color w:val="000000"/>
          <w:szCs w:val="22"/>
        </w:rPr>
      </w:pPr>
      <w:r w:rsidRPr="00D37849">
        <w:rPr>
          <w:rFonts w:cs="Calibri Light"/>
          <w:color w:val="000000"/>
          <w:szCs w:val="22"/>
        </w:rPr>
        <w:t>You must give a register notice in relation to a registrable water interest within 30 days of:</w:t>
      </w:r>
    </w:p>
    <w:p w14:paraId="02C2E2FD" w14:textId="77777777" w:rsidR="00921C35" w:rsidRPr="00D37849" w:rsidRDefault="00921C35" w:rsidP="00673A08">
      <w:pPr>
        <w:pStyle w:val="Bullet"/>
      </w:pPr>
      <w:r w:rsidRPr="00D37849">
        <w:t>the last day of the financial year in which you acquired the interest (if you were a foreign person at the time of the acquisition);</w:t>
      </w:r>
      <w:r w:rsidRPr="00D37849">
        <w:rPr>
          <w:rStyle w:val="FootnoteReference"/>
          <w:rFonts w:cs="Calibri Light"/>
          <w:color w:val="000000"/>
          <w:szCs w:val="22"/>
        </w:rPr>
        <w:footnoteReference w:id="36"/>
      </w:r>
      <w:r w:rsidRPr="00D37849">
        <w:t xml:space="preserve"> or </w:t>
      </w:r>
    </w:p>
    <w:p w14:paraId="098AB2F8" w14:textId="77777777" w:rsidR="00921C35" w:rsidRPr="00D37849" w:rsidRDefault="00921C35" w:rsidP="00673A08">
      <w:pPr>
        <w:pStyle w:val="Bullet"/>
      </w:pPr>
      <w:r w:rsidRPr="00D37849">
        <w:t>the last day of the financial year in which you became a foreign person (if you became a foreign person while holding a registrable water interest).</w:t>
      </w:r>
      <w:r w:rsidRPr="00D37849">
        <w:rPr>
          <w:rStyle w:val="FootnoteReference"/>
          <w:rFonts w:cs="Calibri Light"/>
          <w:color w:val="000000"/>
          <w:szCs w:val="22"/>
        </w:rPr>
        <w:footnoteReference w:id="37"/>
      </w:r>
      <w:r w:rsidRPr="00D37849">
        <w:t xml:space="preserve">  </w:t>
      </w:r>
    </w:p>
    <w:tbl>
      <w:tblPr>
        <w:tblStyle w:val="TableGrid"/>
        <w:tblpPr w:leftFromText="180" w:rightFromText="180" w:vertAnchor="text" w:horzAnchor="margin" w:tblpY="83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F6FF"/>
        <w:tblLook w:val="04A0" w:firstRow="1" w:lastRow="0" w:firstColumn="1" w:lastColumn="0" w:noHBand="0" w:noVBand="1"/>
      </w:tblPr>
      <w:tblGrid>
        <w:gridCol w:w="8504"/>
      </w:tblGrid>
      <w:tr w:rsidR="003018C3" w:rsidRPr="00F526D0" w14:paraId="4A7B2257" w14:textId="77777777" w:rsidTr="003018C3">
        <w:trPr>
          <w:trHeight w:val="903"/>
        </w:trPr>
        <w:tc>
          <w:tcPr>
            <w:tcW w:w="8504" w:type="dxa"/>
            <w:shd w:val="clear" w:color="auto" w:fill="E5F6FF"/>
            <w:tcMar>
              <w:top w:w="57" w:type="dxa"/>
              <w:left w:w="227" w:type="dxa"/>
              <w:bottom w:w="227" w:type="dxa"/>
              <w:right w:w="227" w:type="dxa"/>
            </w:tcMar>
          </w:tcPr>
          <w:p w14:paraId="73A6D838" w14:textId="20FC9F4A" w:rsidR="00746119" w:rsidRPr="00D37849" w:rsidRDefault="00746119" w:rsidP="00746119">
            <w:pPr>
              <w:pStyle w:val="BoxHeading"/>
            </w:pPr>
            <w:r w:rsidRPr="00D37849">
              <w:t xml:space="preserve">Example </w:t>
            </w:r>
            <w:r w:rsidR="00992531">
              <w:fldChar w:fldCharType="begin"/>
            </w:r>
            <w:r w:rsidR="00992531">
              <w:instrText xml:space="preserve"> SEQ ex \n \* MERGEFORMAT </w:instrText>
            </w:r>
            <w:r w:rsidR="00992531">
              <w:fldChar w:fldCharType="separate"/>
            </w:r>
            <w:r w:rsidR="00992531">
              <w:rPr>
                <w:noProof/>
              </w:rPr>
              <w:t>5</w:t>
            </w:r>
            <w:r w:rsidR="00992531">
              <w:rPr>
                <w:noProof/>
              </w:rPr>
              <w:fldChar w:fldCharType="end"/>
            </w:r>
          </w:p>
          <w:p w14:paraId="62C1C94A" w14:textId="77777777" w:rsidR="00746119" w:rsidRPr="00D37849" w:rsidRDefault="00746119" w:rsidP="00746119">
            <w:pPr>
              <w:pStyle w:val="BoxText"/>
            </w:pPr>
            <w:r w:rsidRPr="00D37849">
              <w:t>A foreign person acquires a registrable water interest on 1 April. The person is still a foreign person</w:t>
            </w:r>
            <w:r>
              <w:t>, and still holds that interest,</w:t>
            </w:r>
            <w:r w:rsidRPr="00D37849">
              <w:t xml:space="preserve"> on 30 June. A register notice is required within 30</w:t>
            </w:r>
            <w:r>
              <w:t> </w:t>
            </w:r>
            <w:r w:rsidRPr="00D37849">
              <w:t>days of 30</w:t>
            </w:r>
            <w:r>
              <w:t> </w:t>
            </w:r>
            <w:r w:rsidRPr="00D37849">
              <w:t xml:space="preserve">June that year. </w:t>
            </w:r>
          </w:p>
          <w:p w14:paraId="3F53F9EB" w14:textId="0556DE80" w:rsidR="00746119" w:rsidRPr="00D37849" w:rsidRDefault="00746119" w:rsidP="00746119">
            <w:pPr>
              <w:pStyle w:val="BoxHeading"/>
            </w:pPr>
            <w:r w:rsidRPr="00D37849">
              <w:t xml:space="preserve">Example </w:t>
            </w:r>
            <w:r w:rsidR="00992531">
              <w:fldChar w:fldCharType="begin"/>
            </w:r>
            <w:r w:rsidR="00992531">
              <w:instrText xml:space="preserve"> SEQ ex \n \* MERGEFORMAT </w:instrText>
            </w:r>
            <w:r w:rsidR="00992531">
              <w:fldChar w:fldCharType="separate"/>
            </w:r>
            <w:r w:rsidR="00992531">
              <w:rPr>
                <w:noProof/>
              </w:rPr>
              <w:t>6</w:t>
            </w:r>
            <w:r w:rsidR="00992531">
              <w:rPr>
                <w:noProof/>
              </w:rPr>
              <w:fldChar w:fldCharType="end"/>
            </w:r>
          </w:p>
          <w:p w14:paraId="383AFFFB" w14:textId="7A8C7665" w:rsidR="003018C3" w:rsidRPr="00F526D0" w:rsidRDefault="00746119" w:rsidP="003018C3">
            <w:pPr>
              <w:pStyle w:val="BoxText"/>
            </w:pPr>
            <w:r w:rsidRPr="00D37849">
              <w:t>A non</w:t>
            </w:r>
            <w:r>
              <w:noBreakHyphen/>
            </w:r>
            <w:r w:rsidRPr="00D37849">
              <w:t xml:space="preserve">foreign person acquires a registrable water interest on 1 February and becomes a foreign person on 1 March. </w:t>
            </w:r>
            <w:r>
              <w:t xml:space="preserve">The person is still a foreign person, and still holds that interest, on 30 June. </w:t>
            </w:r>
            <w:r w:rsidRPr="00D37849">
              <w:t xml:space="preserve">A register notice is required within 30 days of 30 June that year. </w:t>
            </w:r>
          </w:p>
        </w:tc>
      </w:tr>
    </w:tbl>
    <w:p w14:paraId="7CFCBAF1" w14:textId="6F30A9FD" w:rsidR="003018C3" w:rsidRDefault="00921C35" w:rsidP="003018C3">
      <w:pPr>
        <w:spacing w:before="0" w:after="0"/>
        <w:rPr>
          <w:rFonts w:cs="Calibri Light"/>
          <w:color w:val="000000"/>
          <w:szCs w:val="22"/>
        </w:rPr>
      </w:pPr>
      <w:r w:rsidRPr="00D37849">
        <w:rPr>
          <w:rFonts w:cs="Calibri Light"/>
          <w:color w:val="000000"/>
          <w:szCs w:val="22"/>
        </w:rPr>
        <w:t>A register notice only needs to be given if you are a foreign person and hold the registrable water interest at the end of the financial year.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F6FF"/>
        <w:tblLook w:val="04A0" w:firstRow="1" w:lastRow="0" w:firstColumn="1" w:lastColumn="0" w:noHBand="0" w:noVBand="1"/>
      </w:tblPr>
      <w:tblGrid>
        <w:gridCol w:w="8504"/>
      </w:tblGrid>
      <w:tr w:rsidR="00921C35" w:rsidRPr="00D37849" w14:paraId="31C8501F" w14:textId="77777777" w:rsidTr="00BF4C31">
        <w:trPr>
          <w:trHeight w:val="903"/>
        </w:trPr>
        <w:tc>
          <w:tcPr>
            <w:tcW w:w="5000" w:type="pct"/>
            <w:shd w:val="clear" w:color="auto" w:fill="E5F6FF"/>
            <w:tcMar>
              <w:top w:w="57" w:type="dxa"/>
              <w:left w:w="227" w:type="dxa"/>
              <w:bottom w:w="227" w:type="dxa"/>
              <w:right w:w="227" w:type="dxa"/>
            </w:tcMar>
          </w:tcPr>
          <w:p w14:paraId="7E7F3D1E" w14:textId="268F3043" w:rsidR="00921C35" w:rsidRPr="00D37849" w:rsidRDefault="00921C35" w:rsidP="00BF4C31">
            <w:pPr>
              <w:pStyle w:val="BoxHeading"/>
            </w:pPr>
            <w:r w:rsidRPr="00D37849">
              <w:lastRenderedPageBreak/>
              <w:t xml:space="preserve">Example </w:t>
            </w:r>
            <w:r w:rsidR="00992531">
              <w:fldChar w:fldCharType="begin"/>
            </w:r>
            <w:r w:rsidR="00992531">
              <w:instrText xml:space="preserve"> SEQ ex \n \* MERGEFORMAT </w:instrText>
            </w:r>
            <w:r w:rsidR="00992531">
              <w:fldChar w:fldCharType="separate"/>
            </w:r>
            <w:r w:rsidR="00992531">
              <w:rPr>
                <w:noProof/>
              </w:rPr>
              <w:t>7</w:t>
            </w:r>
            <w:r w:rsidR="00992531">
              <w:rPr>
                <w:noProof/>
              </w:rPr>
              <w:fldChar w:fldCharType="end"/>
            </w:r>
          </w:p>
          <w:p w14:paraId="7258AED7" w14:textId="575834AC" w:rsidR="00921C35" w:rsidRPr="00D37849" w:rsidRDefault="00921C35" w:rsidP="00BF4C31">
            <w:pPr>
              <w:pStyle w:val="BoxText"/>
            </w:pPr>
            <w:r w:rsidRPr="00D37849">
              <w:t>A non</w:t>
            </w:r>
            <w:r w:rsidR="003F2C1D">
              <w:noBreakHyphen/>
            </w:r>
            <w:r w:rsidRPr="00D37849">
              <w:t xml:space="preserve">foreign person acquires a registrable water interest on 1 February and becomes a foreign person on 1 October. </w:t>
            </w:r>
            <w:r w:rsidR="00B61FAB">
              <w:t xml:space="preserve">The person is still a foreign person, and still holds that interest, on 30 June the following year. </w:t>
            </w:r>
            <w:r w:rsidRPr="00D37849">
              <w:t>A register notice is required within 30 days of 30</w:t>
            </w:r>
            <w:r w:rsidR="006E1598">
              <w:t> </w:t>
            </w:r>
            <w:r w:rsidRPr="00D37849">
              <w:t xml:space="preserve">June the following year. </w:t>
            </w:r>
          </w:p>
          <w:p w14:paraId="4F38738D" w14:textId="2119E86D" w:rsidR="00921C35" w:rsidRPr="00D37849" w:rsidRDefault="00921C35" w:rsidP="00BF4C31">
            <w:pPr>
              <w:pStyle w:val="BoxHeading"/>
            </w:pPr>
            <w:r w:rsidRPr="00D37849">
              <w:t xml:space="preserve">Example </w:t>
            </w:r>
            <w:r w:rsidR="00992531">
              <w:fldChar w:fldCharType="begin"/>
            </w:r>
            <w:r w:rsidR="00992531">
              <w:instrText xml:space="preserve"> SEQ ex \n \* MERGEFORMAT </w:instrText>
            </w:r>
            <w:r w:rsidR="00992531">
              <w:fldChar w:fldCharType="separate"/>
            </w:r>
            <w:r w:rsidR="00992531">
              <w:rPr>
                <w:noProof/>
              </w:rPr>
              <w:t>8</w:t>
            </w:r>
            <w:r w:rsidR="00992531">
              <w:rPr>
                <w:noProof/>
              </w:rPr>
              <w:fldChar w:fldCharType="end"/>
            </w:r>
          </w:p>
          <w:p w14:paraId="43B5D565" w14:textId="7E55CB30" w:rsidR="00921C35" w:rsidRPr="00D37849" w:rsidRDefault="00921C35" w:rsidP="00BF4C31">
            <w:pPr>
              <w:pStyle w:val="BoxText"/>
            </w:pPr>
            <w:r w:rsidRPr="00D37849">
              <w:t xml:space="preserve">A foreign person acquires a registrable water interest on 1 April and disposes of </w:t>
            </w:r>
            <w:r w:rsidR="00B6685B">
              <w:t>that</w:t>
            </w:r>
            <w:r w:rsidR="00EA12A1">
              <w:t xml:space="preserve"> </w:t>
            </w:r>
            <w:r w:rsidRPr="00D37849">
              <w:t xml:space="preserve">interest on 14 April. The foreign person is not required to give a register notice in relation to the </w:t>
            </w:r>
            <w:r w:rsidR="00255903">
              <w:t xml:space="preserve">registrable </w:t>
            </w:r>
            <w:r w:rsidRPr="00D37849">
              <w:t>water interest</w:t>
            </w:r>
            <w:r w:rsidR="006F2102">
              <w:t>.</w:t>
            </w:r>
          </w:p>
        </w:tc>
      </w:tr>
    </w:tbl>
    <w:p w14:paraId="5D188084" w14:textId="4BAAEB85" w:rsidR="00EB5F25" w:rsidRDefault="00EB5F25" w:rsidP="005913E9">
      <w:pPr>
        <w:pStyle w:val="Heading3"/>
        <w:spacing w:line="240" w:lineRule="auto"/>
        <w:rPr>
          <w:szCs w:val="28"/>
        </w:rPr>
      </w:pPr>
      <w:r w:rsidRPr="00B47BAD">
        <w:rPr>
          <w:szCs w:val="28"/>
        </w:rPr>
        <w:t xml:space="preserve">When is a register notice in relation to </w:t>
      </w:r>
      <w:r>
        <w:rPr>
          <w:szCs w:val="28"/>
        </w:rPr>
        <w:t>a</w:t>
      </w:r>
      <w:r w:rsidR="00092D36">
        <w:rPr>
          <w:szCs w:val="28"/>
        </w:rPr>
        <w:t xml:space="preserve">n interest in an entity or a business </w:t>
      </w:r>
      <w:r>
        <w:rPr>
          <w:szCs w:val="28"/>
        </w:rPr>
        <w:t>due?</w:t>
      </w:r>
      <w:r w:rsidR="006C45B4" w:rsidRPr="006C45B4">
        <w:rPr>
          <w:rStyle w:val="FootnoteReference"/>
        </w:rPr>
        <w:t xml:space="preserve"> </w:t>
      </w:r>
      <w:r w:rsidR="006C45B4">
        <w:rPr>
          <w:rStyle w:val="FootnoteReference"/>
        </w:rPr>
        <w:footnoteReference w:id="38"/>
      </w:r>
    </w:p>
    <w:p w14:paraId="1E9CB380" w14:textId="4F7BB61C" w:rsidR="00D96FD3" w:rsidRDefault="00A216E1" w:rsidP="00D13BD3">
      <w:pPr>
        <w:spacing w:after="220"/>
        <w:rPr>
          <w:rFonts w:cs="Calibri Light"/>
          <w:color w:val="000000"/>
          <w:szCs w:val="22"/>
        </w:rPr>
      </w:pPr>
      <w:r>
        <w:rPr>
          <w:rFonts w:cs="Calibri Light"/>
          <w:color w:val="000000"/>
          <w:szCs w:val="22"/>
        </w:rPr>
        <w:t>Usually, y</w:t>
      </w:r>
      <w:r w:rsidR="00D96FD3" w:rsidRPr="00632D9B">
        <w:rPr>
          <w:rFonts w:cs="Calibri Light"/>
          <w:color w:val="000000"/>
          <w:szCs w:val="22"/>
        </w:rPr>
        <w:t>ou must give a register notice in relation to an interest in an entity or business within 30 days of the day you</w:t>
      </w:r>
      <w:r w:rsidR="00211A67">
        <w:rPr>
          <w:rFonts w:cs="Calibri Light"/>
          <w:color w:val="000000"/>
          <w:szCs w:val="22"/>
        </w:rPr>
        <w:t xml:space="preserve"> took the relevant action (such as</w:t>
      </w:r>
      <w:r w:rsidR="00D96FD3" w:rsidRPr="00632D9B">
        <w:rPr>
          <w:rFonts w:cs="Calibri Light"/>
          <w:color w:val="000000"/>
          <w:szCs w:val="22"/>
        </w:rPr>
        <w:t xml:space="preserve"> </w:t>
      </w:r>
      <w:r w:rsidR="00211A67">
        <w:rPr>
          <w:rFonts w:cs="Calibri Light"/>
          <w:color w:val="000000"/>
          <w:szCs w:val="22"/>
        </w:rPr>
        <w:t>acquiring</w:t>
      </w:r>
      <w:r w:rsidR="00211A67" w:rsidRPr="00632D9B">
        <w:rPr>
          <w:rFonts w:cs="Calibri Light"/>
          <w:color w:val="000000"/>
          <w:szCs w:val="22"/>
        </w:rPr>
        <w:t xml:space="preserve"> </w:t>
      </w:r>
      <w:r w:rsidR="00D96FD3" w:rsidRPr="00632D9B">
        <w:rPr>
          <w:rFonts w:cs="Calibri Light"/>
          <w:color w:val="000000"/>
          <w:szCs w:val="22"/>
        </w:rPr>
        <w:t>the interest</w:t>
      </w:r>
      <w:r w:rsidR="00497C8C">
        <w:rPr>
          <w:rFonts w:cs="Calibri Light"/>
          <w:color w:val="000000"/>
          <w:szCs w:val="22"/>
        </w:rPr>
        <w:t>)</w:t>
      </w:r>
      <w:r w:rsidR="00D96FD3" w:rsidRPr="00632D9B">
        <w:rPr>
          <w:rFonts w:cs="Calibri Light"/>
          <w:color w:val="000000"/>
          <w:szCs w:val="22"/>
        </w:rPr>
        <w:t xml:space="preserve"> or became a foreign person.</w:t>
      </w:r>
      <w:r w:rsidR="00D96FD3" w:rsidRPr="00632D9B">
        <w:rPr>
          <w:rStyle w:val="FootnoteReference"/>
          <w:rFonts w:cs="Calibri Light"/>
          <w:color w:val="000000"/>
          <w:szCs w:val="22"/>
        </w:rPr>
        <w:footnoteReference w:id="39"/>
      </w:r>
      <w:r w:rsidR="00D96FD3" w:rsidRPr="00632D9B">
        <w:rPr>
          <w:rFonts w:cs="Calibri Light"/>
          <w:color w:val="000000"/>
          <w:szCs w:val="22"/>
        </w:rPr>
        <w:t xml:space="preserve"> </w:t>
      </w:r>
      <w:r w:rsidR="00D27826">
        <w:rPr>
          <w:rFonts w:cs="Calibri Light"/>
          <w:color w:val="000000"/>
          <w:szCs w:val="22"/>
        </w:rPr>
        <w:t>In certain circumstances, however, you must give the register notice within 30</w:t>
      </w:r>
      <w:r w:rsidR="006E1598">
        <w:rPr>
          <w:rFonts w:cs="Calibri Light"/>
          <w:color w:val="000000"/>
          <w:szCs w:val="22"/>
        </w:rPr>
        <w:t> </w:t>
      </w:r>
      <w:r w:rsidR="00D27826">
        <w:rPr>
          <w:rFonts w:cs="Calibri Light"/>
          <w:color w:val="000000"/>
          <w:szCs w:val="22"/>
        </w:rPr>
        <w:t xml:space="preserve">days of the day you became aware, or ought reasonably to have become aware, of a change in control of the entity or business, or the day on which a no objection notification or notice imposing conditions relating to the action was given. </w:t>
      </w:r>
    </w:p>
    <w:p w14:paraId="6A2D428E" w14:textId="7104023D" w:rsidR="00441A85" w:rsidRDefault="00441A85" w:rsidP="005913E9">
      <w:pPr>
        <w:pStyle w:val="Heading3"/>
        <w:spacing w:line="240" w:lineRule="auto"/>
        <w:rPr>
          <w:szCs w:val="28"/>
        </w:rPr>
      </w:pPr>
      <w:r w:rsidRPr="00B47BAD">
        <w:rPr>
          <w:szCs w:val="28"/>
        </w:rPr>
        <w:t xml:space="preserve">When is a register notice in relation to </w:t>
      </w:r>
      <w:r w:rsidR="002A124B">
        <w:rPr>
          <w:szCs w:val="28"/>
        </w:rPr>
        <w:t>a change in size of an interest in an entity or business due?</w:t>
      </w:r>
    </w:p>
    <w:p w14:paraId="5C3F1EE4" w14:textId="77777777" w:rsidR="00D37849" w:rsidRDefault="00D37849" w:rsidP="00136256">
      <w:r w:rsidRPr="00512F64">
        <w:t>You must give a register notice in relation to a change in size of an interest in an entity or business within 30 days of the day on which you became aware, or ought reasonably to have become aware, of the change.</w:t>
      </w:r>
      <w:r w:rsidRPr="00512F64">
        <w:rPr>
          <w:rStyle w:val="FootnoteReference"/>
          <w:rFonts w:cs="Calibri Light"/>
          <w:color w:val="000000"/>
          <w:szCs w:val="22"/>
        </w:rPr>
        <w:footnoteReference w:id="40"/>
      </w:r>
    </w:p>
    <w:p w14:paraId="5A28E805" w14:textId="77777777" w:rsidR="00CE6B51" w:rsidRPr="00657C12" w:rsidRDefault="00CE6B51" w:rsidP="00657C12">
      <w:r w:rsidRPr="00657C12">
        <w:br w:type="page"/>
      </w:r>
    </w:p>
    <w:p w14:paraId="108E7E82" w14:textId="5F6C55EA" w:rsidR="00CA5F63" w:rsidRDefault="00CA5F63" w:rsidP="00CA5F63">
      <w:pPr>
        <w:pStyle w:val="Heading3"/>
        <w:spacing w:line="240" w:lineRule="auto"/>
        <w:rPr>
          <w:szCs w:val="28"/>
        </w:rPr>
      </w:pPr>
      <w:r w:rsidRPr="00B47BAD">
        <w:rPr>
          <w:szCs w:val="28"/>
        </w:rPr>
        <w:lastRenderedPageBreak/>
        <w:t xml:space="preserve">When is a register notice in relation to </w:t>
      </w:r>
      <w:r w:rsidR="00AF7FD9">
        <w:rPr>
          <w:szCs w:val="28"/>
        </w:rPr>
        <w:t>a</w:t>
      </w:r>
      <w:r w:rsidR="009041C7">
        <w:rPr>
          <w:szCs w:val="28"/>
        </w:rPr>
        <w:t xml:space="preserve"> direct interest in an entity </w:t>
      </w:r>
      <w:r w:rsidR="00066C74">
        <w:rPr>
          <w:szCs w:val="28"/>
        </w:rPr>
        <w:t>that wholly or partly</w:t>
      </w:r>
      <w:r w:rsidR="00BA4DE8">
        <w:rPr>
          <w:szCs w:val="28"/>
        </w:rPr>
        <w:t xml:space="preserve"> carries on </w:t>
      </w:r>
      <w:r w:rsidR="00AF7FD9">
        <w:rPr>
          <w:szCs w:val="28"/>
        </w:rPr>
        <w:t>an Australian media business</w:t>
      </w:r>
      <w:r>
        <w:rPr>
          <w:szCs w:val="28"/>
        </w:rPr>
        <w:t xml:space="preserve"> due?</w:t>
      </w:r>
    </w:p>
    <w:p w14:paraId="519C7859" w14:textId="426BA45E" w:rsidR="000A3E83" w:rsidRPr="008C5426" w:rsidRDefault="00566423" w:rsidP="006E1598">
      <w:r w:rsidRPr="008C5426">
        <w:rPr>
          <w:color w:val="000000"/>
        </w:rPr>
        <w:t xml:space="preserve">You must give a register </w:t>
      </w:r>
      <w:r w:rsidRPr="008C5426">
        <w:t xml:space="preserve">notice in relation to </w:t>
      </w:r>
      <w:r w:rsidR="006C008E">
        <w:t xml:space="preserve">a direct interest in an entity </w:t>
      </w:r>
      <w:r w:rsidR="00351608">
        <w:rPr>
          <w:color w:val="000000"/>
        </w:rPr>
        <w:t>business that wholly or partly</w:t>
      </w:r>
      <w:r w:rsidR="006C008E">
        <w:t xml:space="preserve"> carries on </w:t>
      </w:r>
      <w:r w:rsidR="00D42B81">
        <w:t xml:space="preserve">an Australian media business </w:t>
      </w:r>
      <w:r w:rsidR="00AA5419">
        <w:t>within 30 days of the registrable event day,</w:t>
      </w:r>
      <w:r w:rsidR="006278A2">
        <w:t xml:space="preserve"> </w:t>
      </w:r>
      <w:r w:rsidR="000A3E83" w:rsidRPr="008C5426">
        <w:t>which is the later of:</w:t>
      </w:r>
    </w:p>
    <w:p w14:paraId="7AC1C82B" w14:textId="77777777" w:rsidR="000A3E83" w:rsidRPr="008C5426" w:rsidRDefault="000A3E83" w:rsidP="006E1598">
      <w:pPr>
        <w:pStyle w:val="Bullet"/>
      </w:pPr>
      <w:r w:rsidRPr="008C5426">
        <w:t>the day on which you took the action; and</w:t>
      </w:r>
    </w:p>
    <w:p w14:paraId="0358AC44" w14:textId="5F26E8E6" w:rsidR="006B0251" w:rsidRPr="006E1598" w:rsidRDefault="000A3E83" w:rsidP="006E1598">
      <w:pPr>
        <w:pStyle w:val="Bullet"/>
      </w:pPr>
      <w:r w:rsidRPr="008C5426">
        <w:t>the day on which you first became aware, or ought reasonably to have become aware, that the action has been taken.</w:t>
      </w:r>
      <w:r w:rsidRPr="008C5426">
        <w:rPr>
          <w:rStyle w:val="FootnoteReference"/>
          <w:rFonts w:cs="Calibri Light"/>
          <w:szCs w:val="22"/>
        </w:rPr>
        <w:footnoteReference w:id="41"/>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F6FF"/>
        <w:tblLook w:val="04A0" w:firstRow="1" w:lastRow="0" w:firstColumn="1" w:lastColumn="0" w:noHBand="0" w:noVBand="1"/>
      </w:tblPr>
      <w:tblGrid>
        <w:gridCol w:w="8504"/>
      </w:tblGrid>
      <w:tr w:rsidR="00452FFA" w:rsidRPr="00632D9B" w14:paraId="305E4002" w14:textId="77777777" w:rsidTr="006E1598">
        <w:trPr>
          <w:trHeight w:val="903"/>
        </w:trPr>
        <w:tc>
          <w:tcPr>
            <w:tcW w:w="5000" w:type="pct"/>
            <w:shd w:val="clear" w:color="auto" w:fill="E5F6FF"/>
            <w:tcMar>
              <w:top w:w="57" w:type="dxa"/>
              <w:left w:w="227" w:type="dxa"/>
              <w:bottom w:w="227" w:type="dxa"/>
              <w:right w:w="227" w:type="dxa"/>
            </w:tcMar>
          </w:tcPr>
          <w:p w14:paraId="12E64DCE" w14:textId="7AE4484F" w:rsidR="00452FFA" w:rsidRPr="00632D9B" w:rsidRDefault="00452FFA" w:rsidP="006E1598">
            <w:pPr>
              <w:pStyle w:val="BoxHeading"/>
            </w:pPr>
            <w:r w:rsidRPr="00632D9B">
              <w:t>Example</w:t>
            </w:r>
            <w:r>
              <w:t xml:space="preserve"> </w:t>
            </w:r>
            <w:r w:rsidR="00992531">
              <w:fldChar w:fldCharType="begin"/>
            </w:r>
            <w:r w:rsidR="00992531">
              <w:instrText xml:space="preserve"> SEQ ex \n \* MERGEFORMAT </w:instrText>
            </w:r>
            <w:r w:rsidR="00992531">
              <w:fldChar w:fldCharType="separate"/>
            </w:r>
            <w:r w:rsidR="00992531">
              <w:rPr>
                <w:noProof/>
              </w:rPr>
              <w:t>9</w:t>
            </w:r>
            <w:r w:rsidR="00992531">
              <w:rPr>
                <w:noProof/>
              </w:rPr>
              <w:fldChar w:fldCharType="end"/>
            </w:r>
          </w:p>
          <w:p w14:paraId="11C0E6AD" w14:textId="4332249B" w:rsidR="00452FFA" w:rsidRPr="00632D9B" w:rsidRDefault="00452FFA" w:rsidP="006E1598">
            <w:pPr>
              <w:pStyle w:val="BoxText"/>
            </w:pPr>
            <w:r w:rsidRPr="00632D9B">
              <w:t xml:space="preserve">A foreign person </w:t>
            </w:r>
            <w:r>
              <w:t xml:space="preserve">notifies the Treasurer </w:t>
            </w:r>
            <w:r w:rsidRPr="00632D9B">
              <w:t>on 1 Januar</w:t>
            </w:r>
            <w:r>
              <w:t xml:space="preserve">y of </w:t>
            </w:r>
            <w:r w:rsidR="00E02DEA">
              <w:t>their</w:t>
            </w:r>
            <w:r>
              <w:t xml:space="preserve"> </w:t>
            </w:r>
            <w:r w:rsidRPr="00632D9B">
              <w:t xml:space="preserve">proposed acquisition of a </w:t>
            </w:r>
            <w:r w:rsidR="00DB1000">
              <w:t>20</w:t>
            </w:r>
            <w:r w:rsidR="00136256">
              <w:t> </w:t>
            </w:r>
            <w:r w:rsidRPr="00632D9B">
              <w:t>per</w:t>
            </w:r>
            <w:r w:rsidR="00136256">
              <w:t> </w:t>
            </w:r>
            <w:r w:rsidRPr="00632D9B">
              <w:t xml:space="preserve">cent interest in </w:t>
            </w:r>
            <w:proofErr w:type="spellStart"/>
            <w:r w:rsidR="0090703C">
              <w:t>Media</w:t>
            </w:r>
            <w:r w:rsidRPr="00632D9B">
              <w:t>Co</w:t>
            </w:r>
            <w:proofErr w:type="spellEnd"/>
            <w:r w:rsidRPr="00632D9B">
              <w:t xml:space="preserve"> Pty Ltd</w:t>
            </w:r>
            <w:r>
              <w:t xml:space="preserve">, </w:t>
            </w:r>
            <w:r w:rsidR="00B76846">
              <w:t>which is an entity that</w:t>
            </w:r>
            <w:r w:rsidR="00265DBE">
              <w:t xml:space="preserve"> partly</w:t>
            </w:r>
            <w:r w:rsidR="00B76846">
              <w:t xml:space="preserve"> carries on an Australian media business</w:t>
            </w:r>
            <w:r>
              <w:t xml:space="preserve">. </w:t>
            </w:r>
            <w:r w:rsidR="008369CD">
              <w:t>The person</w:t>
            </w:r>
            <w:r w:rsidR="001C16F1">
              <w:t xml:space="preserve"> tells their stockbroker to acquire </w:t>
            </w:r>
            <w:r w:rsidR="00843AAB">
              <w:t>the interest on 1</w:t>
            </w:r>
            <w:r w:rsidR="00136256">
              <w:t> </w:t>
            </w:r>
            <w:r w:rsidR="00843AAB">
              <w:t>February. The stockbroker acquires the interest on 2 February</w:t>
            </w:r>
            <w:r w:rsidR="00927347">
              <w:t xml:space="preserve"> and sends a</w:t>
            </w:r>
            <w:r w:rsidR="00037BFE">
              <w:t>n email</w:t>
            </w:r>
            <w:r w:rsidR="002E7266">
              <w:t xml:space="preserve"> entitled </w:t>
            </w:r>
            <w:r w:rsidR="003F2C1D">
              <w:t>‘</w:t>
            </w:r>
            <w:r w:rsidR="002E7266">
              <w:t xml:space="preserve">Acquisition of Interest in </w:t>
            </w:r>
            <w:proofErr w:type="spellStart"/>
            <w:r w:rsidR="002E7266">
              <w:t>MediaCo</w:t>
            </w:r>
            <w:proofErr w:type="spellEnd"/>
            <w:r w:rsidR="002E7266">
              <w:t xml:space="preserve"> Pty Ltd</w:t>
            </w:r>
            <w:r w:rsidR="003F2C1D">
              <w:t>’</w:t>
            </w:r>
            <w:r w:rsidR="00037BFE">
              <w:t xml:space="preserve"> </w:t>
            </w:r>
            <w:r w:rsidR="00927347">
              <w:t xml:space="preserve">to the person </w:t>
            </w:r>
            <w:r w:rsidR="00552B98">
              <w:t>about</w:t>
            </w:r>
            <w:r w:rsidR="00927347">
              <w:t xml:space="preserve"> </w:t>
            </w:r>
            <w:r w:rsidR="00077DD1">
              <w:t xml:space="preserve">the acquisition </w:t>
            </w:r>
            <w:r w:rsidR="00754855">
              <w:t>on 3</w:t>
            </w:r>
            <w:r w:rsidR="00136256">
              <w:t> </w:t>
            </w:r>
            <w:r w:rsidR="00754855">
              <w:t>February. The person</w:t>
            </w:r>
            <w:r w:rsidR="00782DE6">
              <w:t xml:space="preserve"> </w:t>
            </w:r>
            <w:r w:rsidR="00195F3E">
              <w:t>sees the</w:t>
            </w:r>
            <w:r w:rsidR="00A803F4">
              <w:t xml:space="preserve"> title of the email and deletes it immediately</w:t>
            </w:r>
            <w:r w:rsidR="00C149F1">
              <w:t xml:space="preserve">. </w:t>
            </w:r>
            <w:r w:rsidR="00FF7242">
              <w:t>Because the person ought reasonably to have become aware that the action has been taken, t</w:t>
            </w:r>
            <w:r w:rsidR="007501EE">
              <w:t>he person</w:t>
            </w:r>
            <w:r w:rsidRPr="00632D9B">
              <w:t xml:space="preserve"> is required to give a register notice within 30 days of </w:t>
            </w:r>
            <w:r w:rsidR="005149D4">
              <w:t>3</w:t>
            </w:r>
            <w:r w:rsidRPr="00632D9B">
              <w:t xml:space="preserve"> February. </w:t>
            </w:r>
          </w:p>
        </w:tc>
      </w:tr>
    </w:tbl>
    <w:p w14:paraId="616F7FEA" w14:textId="7F620F49" w:rsidR="00306604" w:rsidRDefault="00306604" w:rsidP="005913E9">
      <w:pPr>
        <w:pStyle w:val="Heading3"/>
        <w:spacing w:line="240" w:lineRule="auto"/>
        <w:rPr>
          <w:szCs w:val="28"/>
        </w:rPr>
      </w:pPr>
      <w:r w:rsidRPr="00B47BAD">
        <w:rPr>
          <w:szCs w:val="28"/>
        </w:rPr>
        <w:t xml:space="preserve">When is a register notice in relation to </w:t>
      </w:r>
      <w:r w:rsidR="006B4756">
        <w:rPr>
          <w:szCs w:val="28"/>
        </w:rPr>
        <w:t xml:space="preserve">an action </w:t>
      </w:r>
      <w:r w:rsidR="009B5AEB">
        <w:rPr>
          <w:szCs w:val="28"/>
        </w:rPr>
        <w:t xml:space="preserve">by a foreign government investor </w:t>
      </w:r>
      <w:r w:rsidR="008870D2">
        <w:rPr>
          <w:szCs w:val="28"/>
        </w:rPr>
        <w:t>due?</w:t>
      </w:r>
    </w:p>
    <w:p w14:paraId="762E9A0A" w14:textId="6EF00335" w:rsidR="00771489" w:rsidRPr="008C5426" w:rsidRDefault="00771489" w:rsidP="006E1598">
      <w:r w:rsidRPr="008C5426">
        <w:rPr>
          <w:color w:val="000000"/>
        </w:rPr>
        <w:t xml:space="preserve">You must give a register </w:t>
      </w:r>
      <w:r w:rsidRPr="008C5426">
        <w:t xml:space="preserve">notice in relation to an action </w:t>
      </w:r>
      <w:r w:rsidR="002A61FC">
        <w:t xml:space="preserve">by a foreign government investor </w:t>
      </w:r>
      <w:r w:rsidRPr="008C5426">
        <w:t>within 30</w:t>
      </w:r>
      <w:r w:rsidR="00136256">
        <w:t> </w:t>
      </w:r>
      <w:r w:rsidRPr="008C5426">
        <w:t>days of the registrable event day, which is the later of:</w:t>
      </w:r>
    </w:p>
    <w:p w14:paraId="74D855BC" w14:textId="77777777" w:rsidR="00771489" w:rsidRPr="008C5426" w:rsidRDefault="00771489" w:rsidP="006E1598">
      <w:pPr>
        <w:pStyle w:val="Bullet"/>
      </w:pPr>
      <w:r w:rsidRPr="008C5426">
        <w:t>the day on which you took the action; and</w:t>
      </w:r>
    </w:p>
    <w:p w14:paraId="2A5E00EA" w14:textId="77777777" w:rsidR="00771489" w:rsidRDefault="00771489" w:rsidP="006E1598">
      <w:pPr>
        <w:pStyle w:val="Bullet"/>
      </w:pPr>
      <w:r w:rsidRPr="008C5426">
        <w:t>the day on which you first became aware, or ought reasonably to have become aware, that the action has been taken.</w:t>
      </w:r>
      <w:r w:rsidRPr="008C5426">
        <w:rPr>
          <w:rStyle w:val="FootnoteReference"/>
          <w:rFonts w:cs="Calibri Light"/>
          <w:szCs w:val="22"/>
        </w:rPr>
        <w:footnoteReference w:id="42"/>
      </w:r>
    </w:p>
    <w:p w14:paraId="160B728E" w14:textId="6EF34B86" w:rsidR="00D05359" w:rsidRDefault="00D05359" w:rsidP="005913E9">
      <w:pPr>
        <w:pStyle w:val="Heading3"/>
        <w:spacing w:line="240" w:lineRule="auto"/>
        <w:rPr>
          <w:szCs w:val="28"/>
        </w:rPr>
      </w:pPr>
      <w:r w:rsidRPr="00B47BAD">
        <w:rPr>
          <w:szCs w:val="28"/>
        </w:rPr>
        <w:t xml:space="preserve">When is a register notice in relation to </w:t>
      </w:r>
      <w:r>
        <w:rPr>
          <w:szCs w:val="28"/>
        </w:rPr>
        <w:t xml:space="preserve">an action </w:t>
      </w:r>
      <w:r w:rsidR="00B43B26">
        <w:rPr>
          <w:szCs w:val="28"/>
        </w:rPr>
        <w:t>taken under an exemption certificate due?</w:t>
      </w:r>
    </w:p>
    <w:p w14:paraId="04B35DDE" w14:textId="2B4438F8" w:rsidR="00A76755" w:rsidRPr="00877A8F" w:rsidRDefault="00070DDD" w:rsidP="00D87CF5">
      <w:pPr>
        <w:spacing w:after="0"/>
        <w:rPr>
          <w:rFonts w:cs="Calibri Light"/>
          <w:color w:val="000000"/>
          <w:szCs w:val="22"/>
        </w:rPr>
      </w:pPr>
      <w:r>
        <w:rPr>
          <w:rFonts w:cs="Calibri Light"/>
          <w:color w:val="000000"/>
          <w:szCs w:val="22"/>
        </w:rPr>
        <w:t>Generally, y</w:t>
      </w:r>
      <w:r w:rsidR="00A76755" w:rsidRPr="002D0463">
        <w:rPr>
          <w:rFonts w:cs="Calibri Light"/>
          <w:color w:val="000000"/>
          <w:szCs w:val="22"/>
        </w:rPr>
        <w:t xml:space="preserve">ou must give a register notice in relation to an action taken under an exemption certificate on the same day </w:t>
      </w:r>
      <w:r w:rsidR="00A76755" w:rsidRPr="00877A8F">
        <w:rPr>
          <w:rFonts w:cs="Calibri Light"/>
          <w:color w:val="000000"/>
          <w:szCs w:val="22"/>
        </w:rPr>
        <w:t xml:space="preserve">you would have </w:t>
      </w:r>
      <w:r w:rsidR="007B0AD5">
        <w:rPr>
          <w:rFonts w:cs="Calibri Light"/>
          <w:color w:val="000000"/>
          <w:szCs w:val="22"/>
        </w:rPr>
        <w:t>been required</w:t>
      </w:r>
      <w:r w:rsidR="00A76755" w:rsidRPr="00877A8F">
        <w:rPr>
          <w:rFonts w:cs="Calibri Light"/>
          <w:color w:val="000000"/>
          <w:szCs w:val="22"/>
        </w:rPr>
        <w:t xml:space="preserve"> to if the action were taken under a no objection notification.</w:t>
      </w:r>
      <w:r w:rsidR="00A76755" w:rsidRPr="00877A8F">
        <w:rPr>
          <w:rStyle w:val="FootnoteReference"/>
          <w:rFonts w:cs="Calibri Light"/>
          <w:color w:val="000000"/>
          <w:szCs w:val="22"/>
        </w:rPr>
        <w:footnoteReference w:id="43"/>
      </w:r>
    </w:p>
    <w:p w14:paraId="1576D121" w14:textId="25E089F3" w:rsidR="00093746" w:rsidRDefault="00093746" w:rsidP="005913E9">
      <w:pPr>
        <w:pStyle w:val="Heading3"/>
        <w:spacing w:line="240" w:lineRule="auto"/>
        <w:rPr>
          <w:szCs w:val="28"/>
        </w:rPr>
      </w:pPr>
      <w:r w:rsidRPr="00B47BAD">
        <w:rPr>
          <w:szCs w:val="28"/>
        </w:rPr>
        <w:lastRenderedPageBreak/>
        <w:t>When is a register notice in relation to</w:t>
      </w:r>
      <w:r w:rsidR="009A7F89">
        <w:rPr>
          <w:szCs w:val="28"/>
        </w:rPr>
        <w:t xml:space="preserve"> a change </w:t>
      </w:r>
      <w:proofErr w:type="gramStart"/>
      <w:r w:rsidR="009A7F89">
        <w:rPr>
          <w:szCs w:val="28"/>
        </w:rPr>
        <w:t>in the nature of an</w:t>
      </w:r>
      <w:proofErr w:type="gramEnd"/>
      <w:r w:rsidR="009A7F89">
        <w:rPr>
          <w:szCs w:val="28"/>
        </w:rPr>
        <w:t xml:space="preserve"> interest in Australian land or an exploration tenement due?</w:t>
      </w:r>
    </w:p>
    <w:p w14:paraId="3B150D70" w14:textId="1E9CC654" w:rsidR="00171532" w:rsidRDefault="002F5B89" w:rsidP="00A45CBE">
      <w:pPr>
        <w:spacing w:after="0"/>
        <w:rPr>
          <w:rFonts w:cs="Calibri Light"/>
          <w:color w:val="000000"/>
          <w:szCs w:val="22"/>
        </w:rPr>
      </w:pPr>
      <w:r w:rsidRPr="00877A8F">
        <w:rPr>
          <w:rFonts w:cs="Calibri Light"/>
          <w:color w:val="000000"/>
          <w:szCs w:val="22"/>
        </w:rPr>
        <w:t xml:space="preserve">You must give a register notice in relation to a change </w:t>
      </w:r>
      <w:proofErr w:type="gramStart"/>
      <w:r w:rsidRPr="00877A8F">
        <w:rPr>
          <w:rFonts w:cs="Calibri Light"/>
          <w:color w:val="000000"/>
          <w:szCs w:val="22"/>
        </w:rPr>
        <w:t>in the nature of an</w:t>
      </w:r>
      <w:proofErr w:type="gramEnd"/>
      <w:r w:rsidRPr="00877A8F">
        <w:rPr>
          <w:rFonts w:cs="Calibri Light"/>
          <w:color w:val="000000"/>
          <w:szCs w:val="22"/>
        </w:rPr>
        <w:t xml:space="preserve"> interest in Australian land or an exploration tenement within 30 days of the day on which you became aware, or ought reasonably to have become aware, of the change.</w:t>
      </w:r>
      <w:r w:rsidRPr="00877A8F">
        <w:rPr>
          <w:rStyle w:val="FootnoteReference"/>
          <w:rFonts w:cs="Calibri Light"/>
          <w:color w:val="000000"/>
          <w:szCs w:val="22"/>
        </w:rPr>
        <w:footnoteReference w:id="44"/>
      </w:r>
      <w:r w:rsidRPr="00877A8F">
        <w:rPr>
          <w:rFonts w:cs="Calibri Light"/>
          <w:color w:val="000000"/>
          <w:szCs w:val="22"/>
        </w:rPr>
        <w:t xml:space="preserve"> </w:t>
      </w:r>
    </w:p>
    <w:p w14:paraId="333BCEE0" w14:textId="527EEF3B" w:rsidR="00961276" w:rsidRDefault="00961276" w:rsidP="005913E9">
      <w:pPr>
        <w:pStyle w:val="Heading3"/>
        <w:spacing w:line="240" w:lineRule="auto"/>
        <w:rPr>
          <w:szCs w:val="28"/>
        </w:rPr>
      </w:pPr>
      <w:r w:rsidRPr="00B47BAD">
        <w:rPr>
          <w:szCs w:val="28"/>
        </w:rPr>
        <w:t>When is a register notice in relation to</w:t>
      </w:r>
      <w:r>
        <w:rPr>
          <w:szCs w:val="28"/>
        </w:rPr>
        <w:t xml:space="preserve"> a change in </w:t>
      </w:r>
      <w:r w:rsidR="000D02DF">
        <w:rPr>
          <w:szCs w:val="28"/>
        </w:rPr>
        <w:t>certain characteristics of a registrable water interest due?</w:t>
      </w:r>
    </w:p>
    <w:p w14:paraId="528F215E" w14:textId="734A46A6" w:rsidR="00171532" w:rsidRPr="00877A8F" w:rsidRDefault="00171532" w:rsidP="0034513B">
      <w:pPr>
        <w:spacing w:after="0"/>
        <w:rPr>
          <w:rFonts w:cs="Calibri Light"/>
          <w:color w:val="000000"/>
          <w:szCs w:val="22"/>
        </w:rPr>
      </w:pPr>
      <w:r w:rsidRPr="00877A8F">
        <w:rPr>
          <w:rFonts w:cs="Calibri Light"/>
          <w:color w:val="000000"/>
          <w:szCs w:val="22"/>
        </w:rPr>
        <w:t xml:space="preserve">You must give a register notice in relation to </w:t>
      </w:r>
      <w:r w:rsidR="00294C58">
        <w:rPr>
          <w:rFonts w:cs="Calibri Light"/>
          <w:color w:val="000000"/>
          <w:szCs w:val="22"/>
        </w:rPr>
        <w:t>a change in certain characteristics</w:t>
      </w:r>
      <w:r w:rsidR="00946689">
        <w:rPr>
          <w:rFonts w:cs="Calibri Light"/>
          <w:color w:val="000000"/>
          <w:szCs w:val="22"/>
        </w:rPr>
        <w:t xml:space="preserve"> of a registrable water interest</w:t>
      </w:r>
      <w:r w:rsidRPr="00877A8F">
        <w:rPr>
          <w:rFonts w:cs="Calibri Light"/>
          <w:color w:val="000000"/>
          <w:szCs w:val="22"/>
        </w:rPr>
        <w:t xml:space="preserve"> within 30 days of the last day of the financial year in which the volume </w:t>
      </w:r>
      <w:r w:rsidR="008247BF">
        <w:rPr>
          <w:rFonts w:cs="Calibri Light"/>
          <w:color w:val="000000"/>
          <w:szCs w:val="22"/>
        </w:rPr>
        <w:t xml:space="preserve">of water </w:t>
      </w:r>
      <w:r w:rsidRPr="00877A8F">
        <w:rPr>
          <w:rFonts w:cs="Calibri Light"/>
          <w:color w:val="000000"/>
          <w:szCs w:val="22"/>
        </w:rPr>
        <w:t>or share of the water resource referred to in the registrable water interest changes.</w:t>
      </w:r>
      <w:r w:rsidRPr="00877A8F">
        <w:rPr>
          <w:rStyle w:val="FootnoteReference"/>
          <w:rFonts w:cs="Calibri Light"/>
          <w:color w:val="000000"/>
          <w:szCs w:val="22"/>
        </w:rPr>
        <w:footnoteReference w:id="45"/>
      </w:r>
      <w:r w:rsidRPr="00877A8F">
        <w:rPr>
          <w:rFonts w:cs="Calibri Light"/>
          <w:color w:val="000000"/>
          <w:szCs w:val="22"/>
        </w:rPr>
        <w:t xml:space="preserve"> </w:t>
      </w:r>
    </w:p>
    <w:p w14:paraId="27209AC4" w14:textId="3FF0FE75" w:rsidR="00F66631" w:rsidRDefault="00F66631" w:rsidP="005913E9">
      <w:pPr>
        <w:pStyle w:val="Heading3"/>
        <w:spacing w:line="240" w:lineRule="auto"/>
        <w:rPr>
          <w:szCs w:val="28"/>
        </w:rPr>
      </w:pPr>
      <w:r w:rsidRPr="00B47BAD">
        <w:rPr>
          <w:szCs w:val="28"/>
        </w:rPr>
        <w:t>When is a register notice in relation to</w:t>
      </w:r>
      <w:r>
        <w:rPr>
          <w:szCs w:val="28"/>
        </w:rPr>
        <w:t xml:space="preserve"> a </w:t>
      </w:r>
      <w:r w:rsidR="00F9089F">
        <w:rPr>
          <w:szCs w:val="28"/>
        </w:rPr>
        <w:t>registered circumstance which ceases due?</w:t>
      </w:r>
    </w:p>
    <w:p w14:paraId="0A753160" w14:textId="32B19851" w:rsidR="001A1769" w:rsidRDefault="001A1769" w:rsidP="005913E9">
      <w:pPr>
        <w:rPr>
          <w:rFonts w:cs="Calibri Light"/>
          <w:color w:val="000000"/>
          <w:szCs w:val="22"/>
        </w:rPr>
      </w:pPr>
      <w:r w:rsidRPr="00877A8F">
        <w:rPr>
          <w:rFonts w:cs="Calibri Light"/>
          <w:color w:val="000000"/>
          <w:szCs w:val="22"/>
        </w:rPr>
        <w:t>You must give a register notice in relation to a registered circumstance which ceases within 30</w:t>
      </w:r>
      <w:r w:rsidR="00136256">
        <w:rPr>
          <w:rFonts w:cs="Calibri Light"/>
          <w:color w:val="000000"/>
          <w:szCs w:val="22"/>
        </w:rPr>
        <w:t> </w:t>
      </w:r>
      <w:r w:rsidRPr="00877A8F">
        <w:rPr>
          <w:rFonts w:cs="Calibri Light"/>
          <w:color w:val="000000"/>
          <w:szCs w:val="22"/>
        </w:rPr>
        <w:t xml:space="preserve">days of the day on which you became aware, or ought reasonably to have become aware, </w:t>
      </w:r>
      <w:r w:rsidR="00136256">
        <w:rPr>
          <w:rFonts w:cs="Calibri Light"/>
          <w:color w:val="000000"/>
          <w:szCs w:val="22"/>
        </w:rPr>
        <w:br/>
      </w:r>
      <w:r w:rsidRPr="00877A8F">
        <w:rPr>
          <w:rFonts w:cs="Calibri Light"/>
          <w:color w:val="000000"/>
          <w:szCs w:val="22"/>
        </w:rPr>
        <w:t>of the cessation.</w:t>
      </w:r>
      <w:r w:rsidRPr="00877A8F">
        <w:rPr>
          <w:rStyle w:val="FootnoteReference"/>
          <w:rFonts w:cs="Calibri Light"/>
          <w:color w:val="000000"/>
          <w:szCs w:val="22"/>
        </w:rPr>
        <w:footnoteReference w:id="46"/>
      </w:r>
    </w:p>
    <w:p w14:paraId="0B4A3FA5" w14:textId="13773BDC" w:rsidR="00750435" w:rsidRDefault="00750435" w:rsidP="005913E9">
      <w:pPr>
        <w:pStyle w:val="Heading3"/>
        <w:spacing w:line="240" w:lineRule="auto"/>
        <w:rPr>
          <w:szCs w:val="28"/>
        </w:rPr>
      </w:pPr>
      <w:r w:rsidRPr="00B47BAD">
        <w:rPr>
          <w:szCs w:val="28"/>
        </w:rPr>
        <w:t>When is a register notice in relation to</w:t>
      </w:r>
      <w:r>
        <w:rPr>
          <w:szCs w:val="28"/>
        </w:rPr>
        <w:t xml:space="preserve"> </w:t>
      </w:r>
      <w:r w:rsidR="004938D6">
        <w:rPr>
          <w:szCs w:val="28"/>
        </w:rPr>
        <w:t>ceasing to be a foreign person due?</w:t>
      </w:r>
    </w:p>
    <w:p w14:paraId="4A2BA793" w14:textId="0A9B1867" w:rsidR="006A3D05" w:rsidRDefault="006A3D05" w:rsidP="0034513B">
      <w:pPr>
        <w:spacing w:after="220"/>
        <w:rPr>
          <w:rFonts w:cs="Calibri Light"/>
          <w:color w:val="000000"/>
          <w:szCs w:val="22"/>
        </w:rPr>
      </w:pPr>
      <w:r w:rsidRPr="00877A8F">
        <w:rPr>
          <w:rFonts w:cs="Calibri Light"/>
          <w:color w:val="000000"/>
          <w:szCs w:val="22"/>
        </w:rPr>
        <w:t>If you cease to be a foreign person</w:t>
      </w:r>
      <w:r w:rsidR="00567929">
        <w:rPr>
          <w:rFonts w:cs="Calibri Light"/>
          <w:color w:val="000000"/>
          <w:szCs w:val="22"/>
        </w:rPr>
        <w:t xml:space="preserve"> while one or more registered circumstances relate to you</w:t>
      </w:r>
      <w:r w:rsidRPr="00877A8F">
        <w:rPr>
          <w:rFonts w:cs="Calibri Light"/>
          <w:color w:val="000000"/>
          <w:szCs w:val="22"/>
        </w:rPr>
        <w:t xml:space="preserve">, you must give a register notice within 30 days of the day on which you cease to be a foreign person. </w:t>
      </w:r>
      <w:r w:rsidR="00754EF8">
        <w:rPr>
          <w:rFonts w:cs="Calibri Light"/>
          <w:color w:val="000000"/>
          <w:szCs w:val="22"/>
        </w:rPr>
        <w:t>However, i</w:t>
      </w:r>
      <w:r w:rsidRPr="00877A8F">
        <w:rPr>
          <w:rFonts w:cs="Calibri Light"/>
          <w:color w:val="000000"/>
          <w:szCs w:val="22"/>
        </w:rPr>
        <w:t>f a foreign person who is a natural person dies, the executor or administrator of the person</w:t>
      </w:r>
      <w:r w:rsidR="003F2C1D">
        <w:rPr>
          <w:rFonts w:cs="Calibri Light"/>
          <w:color w:val="000000"/>
          <w:szCs w:val="22"/>
        </w:rPr>
        <w:t>’</w:t>
      </w:r>
      <w:r w:rsidRPr="00877A8F">
        <w:rPr>
          <w:rFonts w:cs="Calibri Light"/>
          <w:color w:val="000000"/>
          <w:szCs w:val="22"/>
        </w:rPr>
        <w:t>s estate must give a register notice within 30 days of the day on which the executor or administrator is appointed.</w:t>
      </w:r>
      <w:r w:rsidRPr="00877A8F">
        <w:rPr>
          <w:rStyle w:val="FootnoteReference"/>
          <w:rFonts w:cs="Calibri Light"/>
          <w:color w:val="000000"/>
          <w:szCs w:val="22"/>
        </w:rPr>
        <w:footnoteReference w:id="47"/>
      </w:r>
      <w:r w:rsidR="00B96C47">
        <w:rPr>
          <w:rFonts w:cs="Calibri Light"/>
          <w:color w:val="000000"/>
          <w:szCs w:val="22"/>
        </w:rPr>
        <w:t xml:space="preserve"> If a foreign person which is a corporation is wound up, </w:t>
      </w:r>
      <w:r w:rsidR="00481809">
        <w:rPr>
          <w:rFonts w:cs="Calibri Light"/>
          <w:color w:val="000000"/>
          <w:szCs w:val="22"/>
        </w:rPr>
        <w:t>the liquidator of the corporation must give a register notice within 30 days of the day on which the corporation is wound up.</w:t>
      </w:r>
      <w:r w:rsidR="00481809">
        <w:rPr>
          <w:rStyle w:val="FootnoteReference"/>
          <w:rFonts w:cs="Calibri Light"/>
          <w:color w:val="000000"/>
          <w:szCs w:val="22"/>
        </w:rPr>
        <w:footnoteReference w:id="48"/>
      </w:r>
    </w:p>
    <w:p w14:paraId="5D1F056E" w14:textId="7B2C1DF6" w:rsidR="00EA4B43" w:rsidRDefault="001C418F" w:rsidP="005913E9">
      <w:pPr>
        <w:pStyle w:val="Heading3"/>
        <w:spacing w:line="240" w:lineRule="auto"/>
        <w:rPr>
          <w:szCs w:val="28"/>
        </w:rPr>
      </w:pPr>
      <w:r>
        <w:rPr>
          <w:szCs w:val="28"/>
        </w:rPr>
        <w:t>Registrable event day for interests acquired by entering agreements</w:t>
      </w:r>
    </w:p>
    <w:p w14:paraId="0D44835D" w14:textId="2D49B5BB" w:rsidR="001F478D" w:rsidRPr="00877A8F" w:rsidRDefault="001F478D" w:rsidP="00136256">
      <w:r w:rsidRPr="00877A8F">
        <w:t>When working out a registrable event day for a register notice, disregard section 15 of the Act (interests acquired by entering agreements or acquiring options).</w:t>
      </w:r>
      <w:r w:rsidRPr="00877A8F">
        <w:rPr>
          <w:rStyle w:val="FootnoteReference"/>
          <w:rFonts w:cs="Calibri Light"/>
          <w:color w:val="000000"/>
          <w:szCs w:val="22"/>
        </w:rPr>
        <w:footnoteReference w:id="49"/>
      </w:r>
      <w:r w:rsidRPr="00877A8F">
        <w:t xml:space="preserve"> Broadly, this means that you are only required to give a register notice when you actually acquire an interest</w:t>
      </w:r>
      <w:r w:rsidR="003F39AC">
        <w:t xml:space="preserve">, which may be later than when a person would otherwise be deemed to acquire an interest under a binding agreement for the other purposes of the Act (such as determining when </w:t>
      </w:r>
      <w:r w:rsidR="003D4380">
        <w:t>an action is taken other than for the purposes of working out a registrable event day).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F6FF"/>
        <w:tblLook w:val="04A0" w:firstRow="1" w:lastRow="0" w:firstColumn="1" w:lastColumn="0" w:noHBand="0" w:noVBand="1"/>
      </w:tblPr>
      <w:tblGrid>
        <w:gridCol w:w="8504"/>
      </w:tblGrid>
      <w:tr w:rsidR="001F478D" w:rsidRPr="00877A8F" w14:paraId="1E3213F3" w14:textId="77777777" w:rsidTr="00136256">
        <w:trPr>
          <w:trHeight w:val="903"/>
        </w:trPr>
        <w:tc>
          <w:tcPr>
            <w:tcW w:w="5000" w:type="pct"/>
            <w:shd w:val="clear" w:color="auto" w:fill="E5F6FF"/>
            <w:tcMar>
              <w:top w:w="57" w:type="dxa"/>
              <w:left w:w="227" w:type="dxa"/>
              <w:bottom w:w="227" w:type="dxa"/>
              <w:right w:w="227" w:type="dxa"/>
            </w:tcMar>
          </w:tcPr>
          <w:p w14:paraId="18703684" w14:textId="6329A0F9" w:rsidR="001F478D" w:rsidRPr="00877A8F" w:rsidRDefault="001F478D" w:rsidP="00136256">
            <w:pPr>
              <w:pStyle w:val="BoxHeading"/>
            </w:pPr>
            <w:r w:rsidRPr="00877A8F">
              <w:lastRenderedPageBreak/>
              <w:t>Example</w:t>
            </w:r>
            <w:r w:rsidR="0029127B">
              <w:t xml:space="preserve"> </w:t>
            </w:r>
            <w:r w:rsidR="00992531">
              <w:fldChar w:fldCharType="begin"/>
            </w:r>
            <w:r w:rsidR="00992531">
              <w:instrText xml:space="preserve"> SEQ ex \n \* MERGEFORMAT </w:instrText>
            </w:r>
            <w:r w:rsidR="00992531">
              <w:fldChar w:fldCharType="separate"/>
            </w:r>
            <w:r w:rsidR="00992531">
              <w:rPr>
                <w:noProof/>
              </w:rPr>
              <w:t>10</w:t>
            </w:r>
            <w:r w:rsidR="00992531">
              <w:rPr>
                <w:noProof/>
              </w:rPr>
              <w:fldChar w:fldCharType="end"/>
            </w:r>
          </w:p>
          <w:p w14:paraId="23E8347B" w14:textId="12329555" w:rsidR="001F478D" w:rsidRPr="00877A8F" w:rsidRDefault="001F478D" w:rsidP="00136256">
            <w:pPr>
              <w:pStyle w:val="BoxText"/>
            </w:pPr>
            <w:proofErr w:type="spellStart"/>
            <w:r w:rsidRPr="00877A8F">
              <w:t>ExampleCo</w:t>
            </w:r>
            <w:proofErr w:type="spellEnd"/>
            <w:r w:rsidRPr="00877A8F">
              <w:t xml:space="preserve"> Pty Ltd is a foreign person. </w:t>
            </w:r>
            <w:r w:rsidR="00EF0277">
              <w:t>Under a no objection notification, i</w:t>
            </w:r>
            <w:r w:rsidRPr="00877A8F">
              <w:t>t acquires a</w:t>
            </w:r>
            <w:r w:rsidR="00B02312">
              <w:t xml:space="preserve"> binding</w:t>
            </w:r>
            <w:r w:rsidRPr="00877A8F">
              <w:t xml:space="preserve"> option to purchase 25 per cent of the shares of </w:t>
            </w:r>
            <w:proofErr w:type="spellStart"/>
            <w:r w:rsidRPr="00877A8F">
              <w:t>ExampleCo</w:t>
            </w:r>
            <w:proofErr w:type="spellEnd"/>
            <w:r w:rsidRPr="00877A8F">
              <w:t xml:space="preserve"> 2 Pty Ltd on 1 May, which is a significant action under section 40 of the Act</w:t>
            </w:r>
            <w:r w:rsidR="00DF02E1">
              <w:t xml:space="preserve">. </w:t>
            </w:r>
            <w:proofErr w:type="spellStart"/>
            <w:r w:rsidR="00957BD0" w:rsidRPr="00877A8F">
              <w:t>ExampleCo</w:t>
            </w:r>
            <w:proofErr w:type="spellEnd"/>
            <w:r w:rsidR="00957BD0" w:rsidRPr="00877A8F">
              <w:t xml:space="preserve"> Pty Ltd</w:t>
            </w:r>
            <w:r w:rsidR="00D81FAB">
              <w:t xml:space="preserve"> </w:t>
            </w:r>
            <w:r w:rsidR="00C43ADF">
              <w:t xml:space="preserve">then </w:t>
            </w:r>
            <w:r w:rsidRPr="00877A8F">
              <w:t xml:space="preserve">exercises the option on 1 July. </w:t>
            </w:r>
            <w:proofErr w:type="spellStart"/>
            <w:r w:rsidRPr="00877A8F">
              <w:t>ExampleCo</w:t>
            </w:r>
            <w:proofErr w:type="spellEnd"/>
            <w:r w:rsidRPr="00877A8F">
              <w:t xml:space="preserve"> Pty Ltd is required to give a register notice within 30 days of 1 July.</w:t>
            </w:r>
          </w:p>
        </w:tc>
      </w:tr>
    </w:tbl>
    <w:p w14:paraId="3FDC186B" w14:textId="3BAE7396" w:rsidR="00853C94" w:rsidRPr="005826E1" w:rsidRDefault="00853C94" w:rsidP="00657C12">
      <w:pPr>
        <w:rPr>
          <w:szCs w:val="18"/>
        </w:rPr>
      </w:pPr>
      <w:r w:rsidRPr="002C4C4B">
        <w:t>When working out a registrable event day for a register notice</w:t>
      </w:r>
      <w:r>
        <w:t xml:space="preserve">, also disregard </w:t>
      </w:r>
      <w:r w:rsidR="003600B7">
        <w:t>sub</w:t>
      </w:r>
      <w:r>
        <w:t>sections</w:t>
      </w:r>
      <w:r w:rsidR="00AF1C4B">
        <w:t xml:space="preserve"> 19A(1)(b)</w:t>
      </w:r>
      <w:r w:rsidR="00FF6829">
        <w:t xml:space="preserve"> </w:t>
      </w:r>
      <w:r w:rsidR="005B1552">
        <w:t xml:space="preserve">(offer to acquire interests in assets of business) </w:t>
      </w:r>
      <w:r w:rsidR="00FF6829">
        <w:t xml:space="preserve">and </w:t>
      </w:r>
      <w:r w:rsidR="00545F70">
        <w:t xml:space="preserve">20(1)(b) </w:t>
      </w:r>
      <w:r w:rsidR="001848E6">
        <w:t xml:space="preserve">(offer to acquire securities or rights in entity) </w:t>
      </w:r>
      <w:r w:rsidR="00545F70">
        <w:t>of the Act.</w:t>
      </w:r>
      <w:r w:rsidR="00002D1D">
        <w:rPr>
          <w:rStyle w:val="FootnoteReference"/>
          <w:rFonts w:cs="Calibri Light"/>
          <w:color w:val="000000"/>
          <w:szCs w:val="14"/>
        </w:rPr>
        <w:footnoteReference w:id="50"/>
      </w:r>
    </w:p>
    <w:p w14:paraId="1EDFE236" w14:textId="1882940F" w:rsidR="00F92034" w:rsidRPr="004400FB" w:rsidRDefault="00F70809" w:rsidP="00136256">
      <w:pPr>
        <w:pStyle w:val="Heading2"/>
      </w:pPr>
      <w:bookmarkStart w:id="8" w:name="_Toc140150189"/>
      <w:r w:rsidRPr="004400FB">
        <w:t>E</w:t>
      </w:r>
      <w:r w:rsidR="00F92034" w:rsidRPr="004400FB">
        <w:t xml:space="preserve">: </w:t>
      </w:r>
      <w:r w:rsidR="000A5A38" w:rsidRPr="004400FB">
        <w:t xml:space="preserve">How register notice requirements </w:t>
      </w:r>
      <w:r w:rsidR="000A5A38" w:rsidRPr="00136256">
        <w:t>interact</w:t>
      </w:r>
      <w:r w:rsidR="000A5A38" w:rsidRPr="004400FB">
        <w:t xml:space="preserve"> with sections 98C, 98D, and 98E of the Act</w:t>
      </w:r>
      <w:bookmarkEnd w:id="8"/>
    </w:p>
    <w:p w14:paraId="774D1732" w14:textId="3DCA3B6D" w:rsidR="0078182C" w:rsidRPr="0090146C" w:rsidRDefault="00206178" w:rsidP="00136256">
      <w:r>
        <w:t>Y</w:t>
      </w:r>
      <w:r w:rsidR="0078182C" w:rsidRPr="0090146C">
        <w:t>ou are not required to notify the Treasurer under sections 98C, 98D, or 98E of the Act in relation to an action if you are required to give a register notice in relation to that action</w:t>
      </w:r>
      <w:r w:rsidR="00133D0C">
        <w:t xml:space="preserve"> (other than in certain transitional cases)</w:t>
      </w:r>
      <w:r w:rsidR="0078182C" w:rsidRPr="0090146C">
        <w:t>.</w:t>
      </w:r>
      <w:r w:rsidR="0078182C" w:rsidRPr="0090146C">
        <w:rPr>
          <w:rStyle w:val="FootnoteReference"/>
          <w:rFonts w:cs="Calibri Light"/>
          <w:color w:val="000000"/>
          <w:szCs w:val="22"/>
        </w:rPr>
        <w:footnoteReference w:id="51"/>
      </w:r>
    </w:p>
    <w:p w14:paraId="637FD4CB" w14:textId="385ECF7F" w:rsidR="0078182C" w:rsidRDefault="0078182C" w:rsidP="00136256">
      <w:r w:rsidRPr="0090146C">
        <w:t xml:space="preserve">However, if you only have notification obligations under sections 98C, 98D </w:t>
      </w:r>
      <w:r w:rsidR="00013A7B">
        <w:t>and/</w:t>
      </w:r>
      <w:r w:rsidRPr="0090146C">
        <w:t xml:space="preserve">or 98E of the Act, you must meet those obligations.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F6FF"/>
        <w:tblLook w:val="04A0" w:firstRow="1" w:lastRow="0" w:firstColumn="1" w:lastColumn="0" w:noHBand="0" w:noVBand="1"/>
      </w:tblPr>
      <w:tblGrid>
        <w:gridCol w:w="8504"/>
      </w:tblGrid>
      <w:tr w:rsidR="00A73689" w:rsidRPr="00877A8F" w14:paraId="6B8D0F51" w14:textId="77777777" w:rsidTr="00136256">
        <w:trPr>
          <w:trHeight w:val="903"/>
        </w:trPr>
        <w:tc>
          <w:tcPr>
            <w:tcW w:w="5000" w:type="pct"/>
            <w:shd w:val="clear" w:color="auto" w:fill="E5F6FF"/>
            <w:tcMar>
              <w:top w:w="57" w:type="dxa"/>
              <w:left w:w="227" w:type="dxa"/>
              <w:bottom w:w="227" w:type="dxa"/>
              <w:right w:w="227" w:type="dxa"/>
            </w:tcMar>
          </w:tcPr>
          <w:p w14:paraId="2DEE4681" w14:textId="65423871" w:rsidR="00A73689" w:rsidRPr="00877A8F" w:rsidRDefault="00A73689" w:rsidP="00136256">
            <w:pPr>
              <w:pStyle w:val="BoxHeading"/>
            </w:pPr>
            <w:r w:rsidRPr="00877A8F">
              <w:t>Example</w:t>
            </w:r>
            <w:r>
              <w:t xml:space="preserve"> </w:t>
            </w:r>
            <w:r w:rsidR="00992531">
              <w:fldChar w:fldCharType="begin"/>
            </w:r>
            <w:r w:rsidR="00992531">
              <w:instrText xml:space="preserve"> SEQ ex \n \* MERGEFORMAT </w:instrText>
            </w:r>
            <w:r w:rsidR="00992531">
              <w:fldChar w:fldCharType="separate"/>
            </w:r>
            <w:r w:rsidR="00992531">
              <w:rPr>
                <w:noProof/>
              </w:rPr>
              <w:t>11</w:t>
            </w:r>
            <w:r w:rsidR="00992531">
              <w:rPr>
                <w:noProof/>
              </w:rPr>
              <w:fldChar w:fldCharType="end"/>
            </w:r>
          </w:p>
          <w:p w14:paraId="1FBE1EDD" w14:textId="77777777" w:rsidR="00A73689" w:rsidRDefault="000004C7" w:rsidP="00136256">
            <w:pPr>
              <w:pStyle w:val="BoxText"/>
            </w:pPr>
            <w:r>
              <w:t>A</w:t>
            </w:r>
            <w:r w:rsidR="00335242">
              <w:t xml:space="preserve"> foreign person takes a significant action under a no objection notification to acquire an easement over agricultural land. </w:t>
            </w:r>
            <w:r w:rsidR="00D25F7D">
              <w:t>Because this kind of interest is not</w:t>
            </w:r>
            <w:r w:rsidR="004E58B5">
              <w:t xml:space="preserve"> specified in section 58J of the Regulation, the </w:t>
            </w:r>
            <w:r w:rsidR="007746AB">
              <w:t>person is not required to give a register notice in relation to the action</w:t>
            </w:r>
            <w:r w:rsidR="00046D1C">
              <w:t>. T</w:t>
            </w:r>
            <w:r w:rsidR="00D41167">
              <w:t xml:space="preserve">he person </w:t>
            </w:r>
            <w:r w:rsidR="00FE1591">
              <w:t xml:space="preserve">must notify the Treasurer under section 98C of the Act. </w:t>
            </w:r>
          </w:p>
          <w:p w14:paraId="5BB2D98D" w14:textId="12843D43" w:rsidR="00320AFE" w:rsidRPr="0090146C" w:rsidRDefault="00320AFE" w:rsidP="00320AFE">
            <w:pPr>
              <w:pStyle w:val="BoxHeading"/>
            </w:pPr>
            <w:r w:rsidRPr="0090146C">
              <w:t xml:space="preserve">Example </w:t>
            </w:r>
            <w:r w:rsidR="00992531">
              <w:fldChar w:fldCharType="begin"/>
            </w:r>
            <w:r w:rsidR="00992531">
              <w:instrText xml:space="preserve"> SEQ ex \n \* MERGEFORMAT </w:instrText>
            </w:r>
            <w:r w:rsidR="00992531">
              <w:fldChar w:fldCharType="separate"/>
            </w:r>
            <w:r w:rsidR="00992531">
              <w:rPr>
                <w:noProof/>
              </w:rPr>
              <w:t>12</w:t>
            </w:r>
            <w:r w:rsidR="00992531">
              <w:rPr>
                <w:noProof/>
              </w:rPr>
              <w:fldChar w:fldCharType="end"/>
            </w:r>
          </w:p>
          <w:p w14:paraId="29137C1C" w14:textId="7750EB2F" w:rsidR="00320AFE" w:rsidRPr="00877A8F" w:rsidRDefault="00320AFE" w:rsidP="00320AFE">
            <w:pPr>
              <w:pStyle w:val="BoxText"/>
            </w:pPr>
            <w:proofErr w:type="spellStart"/>
            <w:r w:rsidRPr="0090146C">
              <w:t>ExampleCo</w:t>
            </w:r>
            <w:proofErr w:type="spellEnd"/>
            <w:r w:rsidRPr="0090146C">
              <w:t xml:space="preserve"> Pty Ltd was given a no objection notification in respect of its proposed 100</w:t>
            </w:r>
            <w:r>
              <w:t> </w:t>
            </w:r>
            <w:r w:rsidRPr="0090146C">
              <w:t>per</w:t>
            </w:r>
            <w:r>
              <w:t> </w:t>
            </w:r>
            <w:r w:rsidRPr="0090146C">
              <w:t xml:space="preserve">cent acquisition of </w:t>
            </w:r>
            <w:proofErr w:type="spellStart"/>
            <w:r w:rsidRPr="0090146C">
              <w:t>TargetCo</w:t>
            </w:r>
            <w:proofErr w:type="spellEnd"/>
            <w:r w:rsidRPr="0090146C">
              <w:t xml:space="preserve"> Pty Ltd on 2 July 2023. It acquired</w:t>
            </w:r>
            <w:r>
              <w:t xml:space="preserve"> the</w:t>
            </w:r>
            <w:r w:rsidRPr="0090146C">
              <w:t xml:space="preserve"> interests in securities in </w:t>
            </w:r>
            <w:proofErr w:type="spellStart"/>
            <w:r w:rsidRPr="0090146C">
              <w:t>TargetCo</w:t>
            </w:r>
            <w:proofErr w:type="spellEnd"/>
            <w:r w:rsidRPr="0090146C">
              <w:t xml:space="preserve"> Pty Ltd on 10 July 2023 and gave a register notice </w:t>
            </w:r>
            <w:r>
              <w:t xml:space="preserve">in relation to that action </w:t>
            </w:r>
            <w:r w:rsidRPr="0090146C">
              <w:t>on 1</w:t>
            </w:r>
            <w:r>
              <w:t> </w:t>
            </w:r>
            <w:r w:rsidRPr="0090146C">
              <w:t xml:space="preserve">August. </w:t>
            </w:r>
            <w:proofErr w:type="spellStart"/>
            <w:r w:rsidRPr="0090146C">
              <w:t>ExampleCo</w:t>
            </w:r>
            <w:proofErr w:type="spellEnd"/>
            <w:r w:rsidRPr="0090146C">
              <w:t xml:space="preserve"> Pty Ltd is not required to make a report under section 98C of the Act after it takes the action. Nor is it required to make reports under section 98E of the Act.</w:t>
            </w:r>
          </w:p>
        </w:tc>
      </w:tr>
    </w:tbl>
    <w:p w14:paraId="11FB6F33" w14:textId="77777777" w:rsidR="007927B1" w:rsidRPr="0090146C" w:rsidRDefault="007927B1" w:rsidP="005913E9">
      <w:pPr>
        <w:spacing w:before="0" w:after="220"/>
        <w:rPr>
          <w:rFonts w:cs="Calibri Light"/>
          <w:color w:val="000000"/>
          <w:szCs w:val="22"/>
        </w:rPr>
      </w:pPr>
    </w:p>
    <w:p w14:paraId="4B5AFC88" w14:textId="4D37F28C" w:rsidR="00966BAC" w:rsidRPr="004400FB" w:rsidRDefault="00596A66" w:rsidP="00966BAC">
      <w:pPr>
        <w:pStyle w:val="Heading2"/>
      </w:pPr>
      <w:bookmarkStart w:id="9" w:name="_Toc140150190"/>
      <w:r>
        <w:t>F</w:t>
      </w:r>
      <w:r w:rsidR="00966BAC" w:rsidRPr="004400FB">
        <w:t xml:space="preserve">: How register notice requirements </w:t>
      </w:r>
      <w:r w:rsidR="00966BAC" w:rsidRPr="00136256">
        <w:t>interact</w:t>
      </w:r>
      <w:r w:rsidR="00966BAC" w:rsidRPr="004400FB">
        <w:t xml:space="preserve"> with </w:t>
      </w:r>
      <w:r w:rsidR="006E005C">
        <w:t xml:space="preserve">reporting obligations </w:t>
      </w:r>
      <w:r w:rsidR="00422264">
        <w:t>under conditions</w:t>
      </w:r>
      <w:bookmarkEnd w:id="9"/>
    </w:p>
    <w:p w14:paraId="7C96C811" w14:textId="00CED4C6" w:rsidR="00966BAC" w:rsidRDefault="00055DE2" w:rsidP="00966BAC">
      <w:r>
        <w:t>Some</w:t>
      </w:r>
      <w:r w:rsidR="00A90586">
        <w:t xml:space="preserve"> no objection notifications and exemption certificates issued </w:t>
      </w:r>
      <w:r w:rsidR="00D819C6">
        <w:t xml:space="preserve">prior to </w:t>
      </w:r>
      <w:r w:rsidR="000C5282">
        <w:t xml:space="preserve">1 July 2023 </w:t>
      </w:r>
      <w:r w:rsidR="000971FD">
        <w:t xml:space="preserve">included conditions that require the recipient to </w:t>
      </w:r>
      <w:r w:rsidR="00746442">
        <w:t>provide a report to the Treasurer</w:t>
      </w:r>
      <w:r w:rsidR="00E5183F">
        <w:t xml:space="preserve"> or Treasury</w:t>
      </w:r>
      <w:r w:rsidR="00746442">
        <w:t xml:space="preserve"> </w:t>
      </w:r>
      <w:r w:rsidR="009B46DF">
        <w:t xml:space="preserve">on the </w:t>
      </w:r>
      <w:r w:rsidR="009B46DF">
        <w:lastRenderedPageBreak/>
        <w:t xml:space="preserve">occurrence of certain events, including </w:t>
      </w:r>
      <w:r w:rsidR="000C65A2">
        <w:t>acquisitions or disposals</w:t>
      </w:r>
      <w:r w:rsidR="001E6A00">
        <w:t xml:space="preserve"> of an interest covered by the </w:t>
      </w:r>
      <w:r w:rsidR="00DF0E73">
        <w:t xml:space="preserve">no objection notification </w:t>
      </w:r>
      <w:r w:rsidR="00193F7B">
        <w:t>or</w:t>
      </w:r>
      <w:r w:rsidR="00DF0E73">
        <w:t xml:space="preserve"> exemption certificate</w:t>
      </w:r>
      <w:r w:rsidR="00F6040B">
        <w:t>.</w:t>
      </w:r>
    </w:p>
    <w:p w14:paraId="74C2C3E7" w14:textId="42897537" w:rsidR="004E733B" w:rsidRDefault="00AF06A4" w:rsidP="00966BAC">
      <w:r>
        <w:t xml:space="preserve">From 1 July 2023, </w:t>
      </w:r>
      <w:r w:rsidR="008C30AD">
        <w:t>many</w:t>
      </w:r>
      <w:r w:rsidR="005D7A94">
        <w:t xml:space="preserve"> </w:t>
      </w:r>
      <w:r w:rsidR="009B46DF">
        <w:t xml:space="preserve">such </w:t>
      </w:r>
      <w:r w:rsidR="007725BA">
        <w:t xml:space="preserve">events (such as </w:t>
      </w:r>
      <w:r w:rsidR="005D7A94">
        <w:t xml:space="preserve">acquisitions </w:t>
      </w:r>
      <w:r w:rsidR="00BF64E9">
        <w:t>and</w:t>
      </w:r>
      <w:r w:rsidR="005D7A94">
        <w:t xml:space="preserve"> disposals of interests</w:t>
      </w:r>
      <w:r w:rsidR="004D285A">
        <w:t>)</w:t>
      </w:r>
      <w:r w:rsidR="006668BE">
        <w:t xml:space="preserve"> </w:t>
      </w:r>
      <w:r w:rsidR="00C74B7B">
        <w:t xml:space="preserve">may </w:t>
      </w:r>
      <w:r w:rsidR="001C52F8">
        <w:t xml:space="preserve">also </w:t>
      </w:r>
      <w:r w:rsidR="00EC6DA7">
        <w:t xml:space="preserve">give rise to </w:t>
      </w:r>
      <w:r w:rsidR="00A71B29">
        <w:t xml:space="preserve">an </w:t>
      </w:r>
      <w:r w:rsidR="00EC6DA7">
        <w:t xml:space="preserve">obligation to give a register notice. </w:t>
      </w:r>
    </w:p>
    <w:p w14:paraId="4FB93BFB" w14:textId="34E23A10" w:rsidR="00F80654" w:rsidRDefault="002226C7" w:rsidP="00966BAC">
      <w:r>
        <w:t xml:space="preserve">Treasury will not take compliance action </w:t>
      </w:r>
      <w:r w:rsidR="008B5FEB">
        <w:t>against foreign person</w:t>
      </w:r>
      <w:r w:rsidR="00392588">
        <w:t>s</w:t>
      </w:r>
      <w:r w:rsidR="008B5FEB">
        <w:t xml:space="preserve"> who</w:t>
      </w:r>
      <w:r w:rsidR="00C86FAA">
        <w:t xml:space="preserve"> </w:t>
      </w:r>
      <w:r w:rsidR="008B5FEB">
        <w:t>contravene</w:t>
      </w:r>
      <w:r w:rsidR="00EE39AA">
        <w:t xml:space="preserve"> </w:t>
      </w:r>
      <w:r w:rsidR="009C52DA">
        <w:t>condition</w:t>
      </w:r>
      <w:r w:rsidR="00392588">
        <w:t xml:space="preserve">s </w:t>
      </w:r>
      <w:r w:rsidR="00C571CF">
        <w:t xml:space="preserve">imposed in a no objection notification or exemption certificate </w:t>
      </w:r>
      <w:r w:rsidR="00204B66">
        <w:t>to provide a report to the Treasurer</w:t>
      </w:r>
      <w:r w:rsidR="00FC35E5">
        <w:t xml:space="preserve"> or Treasury</w:t>
      </w:r>
      <w:r w:rsidR="0075627D">
        <w:t xml:space="preserve"> </w:t>
      </w:r>
      <w:r w:rsidR="000E7FE9">
        <w:t>where</w:t>
      </w:r>
      <w:r w:rsidR="00F80654">
        <w:t>:</w:t>
      </w:r>
    </w:p>
    <w:p w14:paraId="752EADBE" w14:textId="45E5D649" w:rsidR="00B21762" w:rsidRDefault="004A6E94" w:rsidP="00F80654">
      <w:pPr>
        <w:pStyle w:val="Bullet"/>
      </w:pPr>
      <w:r>
        <w:t>t</w:t>
      </w:r>
      <w:r w:rsidR="00E61211">
        <w:t xml:space="preserve">he </w:t>
      </w:r>
      <w:r w:rsidR="007D53F8">
        <w:t xml:space="preserve">foreign </w:t>
      </w:r>
      <w:r w:rsidR="00616F03">
        <w:t>person is under a</w:t>
      </w:r>
      <w:r w:rsidR="00FE4D66">
        <w:t>n</w:t>
      </w:r>
      <w:r w:rsidR="00684F75">
        <w:t xml:space="preserve"> </w:t>
      </w:r>
      <w:r w:rsidR="00616F03">
        <w:t xml:space="preserve">obligation to </w:t>
      </w:r>
      <w:r w:rsidR="009F6277">
        <w:t>give a register notice</w:t>
      </w:r>
      <w:r w:rsidR="00F44FB0">
        <w:t xml:space="preserve"> in relation to the</w:t>
      </w:r>
      <w:r w:rsidR="00C73972">
        <w:t xml:space="preserve"> same</w:t>
      </w:r>
      <w:r w:rsidR="00F44FB0">
        <w:t xml:space="preserve"> event</w:t>
      </w:r>
      <w:r w:rsidR="009F6277">
        <w:t>;</w:t>
      </w:r>
    </w:p>
    <w:p w14:paraId="4ABAB65C" w14:textId="32B96D76" w:rsidR="00BB3700" w:rsidRDefault="000D79AE" w:rsidP="00F80654">
      <w:pPr>
        <w:pStyle w:val="Bullet"/>
      </w:pPr>
      <w:r>
        <w:t>the foreign person gives the register notice</w:t>
      </w:r>
      <w:r w:rsidR="00EE27DF">
        <w:t xml:space="preserve"> in accordance with </w:t>
      </w:r>
      <w:r w:rsidR="001C19D8">
        <w:t>sub</w:t>
      </w:r>
      <w:r w:rsidR="00EE27DF">
        <w:t>section 130</w:t>
      </w:r>
      <w:proofErr w:type="gramStart"/>
      <w:r w:rsidR="00EE27DF">
        <w:t>W</w:t>
      </w:r>
      <w:r w:rsidR="00816D9A">
        <w:t>(</w:t>
      </w:r>
      <w:proofErr w:type="gramEnd"/>
      <w:r w:rsidR="00816D9A">
        <w:t>2)</w:t>
      </w:r>
      <w:r w:rsidR="00EE27DF">
        <w:t xml:space="preserve"> of the Act</w:t>
      </w:r>
      <w:r w:rsidR="009576B4">
        <w:t xml:space="preserve"> before </w:t>
      </w:r>
      <w:r w:rsidR="006D47BC">
        <w:t xml:space="preserve">the </w:t>
      </w:r>
      <w:r w:rsidR="000C65A2">
        <w:t>time when</w:t>
      </w:r>
      <w:r w:rsidR="006D47BC">
        <w:t xml:space="preserve"> the </w:t>
      </w:r>
      <w:r w:rsidR="00E322A4">
        <w:t xml:space="preserve">relevant condition </w:t>
      </w:r>
      <w:r w:rsidR="00AA294E">
        <w:t xml:space="preserve">requires </w:t>
      </w:r>
      <w:r w:rsidR="00A714F6">
        <w:t xml:space="preserve">a report to </w:t>
      </w:r>
      <w:r w:rsidR="005638FA">
        <w:t xml:space="preserve">be provided to </w:t>
      </w:r>
      <w:r w:rsidR="00A714F6">
        <w:t>the Treasurer or Treasury</w:t>
      </w:r>
      <w:r w:rsidR="001F66EB">
        <w:t>;</w:t>
      </w:r>
      <w:r w:rsidR="00BD2309">
        <w:t xml:space="preserve"> and</w:t>
      </w:r>
    </w:p>
    <w:p w14:paraId="1D34C500" w14:textId="0EA9144C" w:rsidR="00BF67EA" w:rsidRDefault="001C19D8" w:rsidP="00C25C42">
      <w:pPr>
        <w:pStyle w:val="Bullet"/>
      </w:pPr>
      <w:r>
        <w:t xml:space="preserve">the register notice includes </w:t>
      </w:r>
      <w:proofErr w:type="gramStart"/>
      <w:r>
        <w:t>all of</w:t>
      </w:r>
      <w:proofErr w:type="gramEnd"/>
      <w:r>
        <w:t xml:space="preserve"> the information </w:t>
      </w:r>
      <w:r w:rsidR="0050339B">
        <w:t>which</w:t>
      </w:r>
      <w:r>
        <w:t xml:space="preserve"> </w:t>
      </w:r>
      <w:r w:rsidR="00B47EAE">
        <w:t>is</w:t>
      </w:r>
      <w:r>
        <w:t xml:space="preserve"> required to</w:t>
      </w:r>
      <w:r w:rsidR="006A2C58">
        <w:t xml:space="preserve"> be</w:t>
      </w:r>
      <w:r>
        <w:t xml:space="preserve"> provide</w:t>
      </w:r>
      <w:r w:rsidR="006A2C58">
        <w:t>d</w:t>
      </w:r>
      <w:r>
        <w:t xml:space="preserve"> in </w:t>
      </w:r>
      <w:r w:rsidR="00D40EEC">
        <w:t xml:space="preserve">the </w:t>
      </w:r>
      <w:r>
        <w:t>report to the Treasurer</w:t>
      </w:r>
      <w:r w:rsidR="00FC35E5">
        <w:t xml:space="preserve"> or Treasury</w:t>
      </w:r>
      <w:r w:rsidR="00C86FAA">
        <w:t xml:space="preserve"> or, if </w:t>
      </w:r>
      <w:r w:rsidR="0093084E">
        <w:t xml:space="preserve">the register notice does not include all such information, </w:t>
      </w:r>
      <w:r w:rsidR="0057176F">
        <w:t xml:space="preserve">the remaining information is </w:t>
      </w:r>
      <w:r w:rsidR="00B3095D">
        <w:t>provided</w:t>
      </w:r>
      <w:r w:rsidR="007E71CA">
        <w:t xml:space="preserve"> in a report to the Treasur</w:t>
      </w:r>
      <w:r w:rsidR="00B2446F">
        <w:t>er</w:t>
      </w:r>
      <w:r w:rsidR="002B7C46">
        <w:t xml:space="preserve"> or Treasury</w:t>
      </w:r>
      <w:r w:rsidR="000C0A14">
        <w:t xml:space="preserve"> in accordance with </w:t>
      </w:r>
      <w:r w:rsidR="00B72F29">
        <w:t>the relevant condition</w:t>
      </w:r>
      <w:r w:rsidR="00B2446F">
        <w:t>.</w:t>
      </w:r>
      <w:r w:rsidR="00B2446F">
        <w:rPr>
          <w:rStyle w:val="FootnoteReference"/>
        </w:rPr>
        <w:footnoteReference w:id="52"/>
      </w:r>
    </w:p>
    <w:p w14:paraId="0313E6F2" w14:textId="7D1F5291" w:rsidR="00A85140" w:rsidRPr="004400FB" w:rsidRDefault="00596A66" w:rsidP="006956C8">
      <w:pPr>
        <w:pStyle w:val="Heading2"/>
      </w:pPr>
      <w:bookmarkStart w:id="10" w:name="_Toc140150191"/>
      <w:r>
        <w:t>G</w:t>
      </w:r>
      <w:r w:rsidR="00A85140" w:rsidRPr="004400FB">
        <w:t xml:space="preserve">: </w:t>
      </w:r>
      <w:r w:rsidR="00A11DEC">
        <w:t>Exemptions</w:t>
      </w:r>
      <w:bookmarkEnd w:id="10"/>
    </w:p>
    <w:p w14:paraId="22DCA640" w14:textId="72C1F4BC" w:rsidR="00FB26CD" w:rsidRDefault="003605AC" w:rsidP="005913E9">
      <w:pPr>
        <w:pStyle w:val="Heading3"/>
        <w:spacing w:before="0" w:line="240" w:lineRule="auto"/>
        <w:rPr>
          <w:szCs w:val="28"/>
        </w:rPr>
      </w:pPr>
      <w:r>
        <w:rPr>
          <w:szCs w:val="28"/>
        </w:rPr>
        <w:t>Prese</w:t>
      </w:r>
      <w:r w:rsidR="00F54516">
        <w:rPr>
          <w:szCs w:val="28"/>
        </w:rPr>
        <w:t>rved</w:t>
      </w:r>
      <w:r w:rsidR="00046396">
        <w:rPr>
          <w:szCs w:val="28"/>
        </w:rPr>
        <w:t xml:space="preserve"> exemptions from giving a register notice in relation to the Register of Foreign Ownership of Water Entitlements and of Agricultural Land</w:t>
      </w:r>
    </w:p>
    <w:p w14:paraId="6925C38F" w14:textId="5D13FF5C" w:rsidR="00664737" w:rsidRPr="008B3F92" w:rsidRDefault="0088076D" w:rsidP="00D16E6F">
      <w:r>
        <w:t xml:space="preserve">There are </w:t>
      </w:r>
      <w:r w:rsidR="00183D6D">
        <w:t>exemptions</w:t>
      </w:r>
      <w:r w:rsidR="00664737" w:rsidRPr="008B3F92">
        <w:t xml:space="preserve"> from giving a register notice</w:t>
      </w:r>
      <w:r w:rsidR="00C200F8">
        <w:t xml:space="preserve"> which are similar to</w:t>
      </w:r>
      <w:r w:rsidR="00664737" w:rsidRPr="008B3F92">
        <w:t xml:space="preserve"> certain exemptions in the </w:t>
      </w:r>
      <w:hyperlink r:id="rId10" w:history="1">
        <w:r w:rsidR="00664737" w:rsidRPr="008B3F92">
          <w:rPr>
            <w:rStyle w:val="Hyperlink"/>
            <w:rFonts w:cs="Calibri Light"/>
            <w:i/>
            <w:iCs/>
            <w:szCs w:val="22"/>
          </w:rPr>
          <w:t>Register of Foreign Ownership of Water or Agricultural Land Rules 2017</w:t>
        </w:r>
      </w:hyperlink>
      <w:r w:rsidR="007D019D" w:rsidRPr="002C4C4B">
        <w:rPr>
          <w:rStyle w:val="Hyperlink"/>
          <w:rFonts w:cs="Calibri Light"/>
          <w:i/>
          <w:iCs/>
          <w:color w:val="auto"/>
          <w:szCs w:val="22"/>
          <w:u w:val="none"/>
        </w:rPr>
        <w:t xml:space="preserve"> </w:t>
      </w:r>
      <w:r w:rsidR="007D019D" w:rsidRPr="002C4C4B">
        <w:rPr>
          <w:rStyle w:val="Hyperlink"/>
          <w:rFonts w:cs="Calibri Light"/>
          <w:color w:val="auto"/>
          <w:szCs w:val="22"/>
          <w:u w:val="none"/>
        </w:rPr>
        <w:t xml:space="preserve">(the </w:t>
      </w:r>
      <w:r w:rsidR="007D019D" w:rsidRPr="002C4C4B">
        <w:rPr>
          <w:rStyle w:val="Hyperlink"/>
          <w:rFonts w:cs="Calibri Light"/>
          <w:b/>
          <w:bCs/>
          <w:color w:val="auto"/>
          <w:szCs w:val="22"/>
          <w:u w:val="none"/>
        </w:rPr>
        <w:t>Old Rules</w:t>
      </w:r>
      <w:r w:rsidR="007D019D" w:rsidRPr="002C4C4B">
        <w:rPr>
          <w:rStyle w:val="Hyperlink"/>
          <w:rFonts w:cs="Calibri Light"/>
          <w:color w:val="auto"/>
          <w:szCs w:val="22"/>
          <w:u w:val="none"/>
        </w:rPr>
        <w:t>)</w:t>
      </w:r>
      <w:r w:rsidR="00664737" w:rsidRPr="002C4C4B">
        <w:t xml:space="preserve">, </w:t>
      </w:r>
      <w:r w:rsidR="00664737" w:rsidRPr="008B3F92">
        <w:t>including:</w:t>
      </w:r>
    </w:p>
    <w:p w14:paraId="68CC2AC6" w14:textId="5B483D45" w:rsidR="00664737" w:rsidRPr="008B3F92" w:rsidRDefault="00664737" w:rsidP="00BE5A5F">
      <w:pPr>
        <w:pStyle w:val="Bullet"/>
      </w:pPr>
      <w:r w:rsidRPr="008B3F92">
        <w:t>the exemption provided to irrigation infrastructure operators</w:t>
      </w:r>
      <w:r w:rsidR="00506038">
        <w:t>;</w:t>
      </w:r>
      <w:r w:rsidR="00506038">
        <w:rPr>
          <w:rStyle w:val="FootnoteReference"/>
          <w:rFonts w:cs="Calibri Light"/>
          <w:color w:val="000000"/>
          <w:szCs w:val="22"/>
        </w:rPr>
        <w:footnoteReference w:id="53"/>
      </w:r>
    </w:p>
    <w:p w14:paraId="7B91E85C" w14:textId="4773891B" w:rsidR="00664737" w:rsidRPr="008B3F92" w:rsidRDefault="00664737" w:rsidP="00BE5A5F">
      <w:pPr>
        <w:pStyle w:val="Bullet"/>
      </w:pPr>
      <w:r w:rsidRPr="008B3F92">
        <w:t xml:space="preserve">the exemption for </w:t>
      </w:r>
      <w:r w:rsidR="00B26D37">
        <w:t>interests in securities, assets, a trust, or Australian land</w:t>
      </w:r>
      <w:r w:rsidR="005702ED">
        <w:t xml:space="preserve"> held</w:t>
      </w:r>
      <w:r w:rsidR="00B26D37">
        <w:t xml:space="preserve"> </w:t>
      </w:r>
      <w:r w:rsidRPr="008B3F92">
        <w:t>because of enforcement of securities for moneylending agreements</w:t>
      </w:r>
      <w:r w:rsidR="003A429E">
        <w:t>;</w:t>
      </w:r>
      <w:r w:rsidR="003A429E">
        <w:rPr>
          <w:rStyle w:val="FootnoteReference"/>
          <w:rFonts w:cs="Calibri Light"/>
          <w:color w:val="000000"/>
          <w:szCs w:val="22"/>
        </w:rPr>
        <w:footnoteReference w:id="54"/>
      </w:r>
    </w:p>
    <w:p w14:paraId="278C09FC" w14:textId="6B6B4CCB" w:rsidR="00664737" w:rsidRPr="008B3F92" w:rsidRDefault="00664737" w:rsidP="00BE5A5F">
      <w:pPr>
        <w:pStyle w:val="Bullet"/>
      </w:pPr>
      <w:r w:rsidRPr="008B3F92">
        <w:t xml:space="preserve">the exemption for </w:t>
      </w:r>
      <w:r w:rsidR="00DD3D3C">
        <w:t>registrable water interests</w:t>
      </w:r>
      <w:r w:rsidR="006C21FD">
        <w:t xml:space="preserve"> held</w:t>
      </w:r>
      <w:r w:rsidRPr="008B3F92">
        <w:t xml:space="preserve"> because of enforcement of securities for moneylending agreements;</w:t>
      </w:r>
      <w:r w:rsidR="00CD6481">
        <w:rPr>
          <w:rStyle w:val="FootnoteReference"/>
          <w:rFonts w:cs="Calibri Light"/>
          <w:color w:val="000000"/>
          <w:szCs w:val="22"/>
        </w:rPr>
        <w:footnoteReference w:id="55"/>
      </w:r>
      <w:r w:rsidRPr="008B3F92">
        <w:t xml:space="preserve"> and</w:t>
      </w:r>
    </w:p>
    <w:p w14:paraId="4267C610" w14:textId="0E6DF166" w:rsidR="00664737" w:rsidRPr="008B3F92" w:rsidRDefault="00664737" w:rsidP="00BE5A5F">
      <w:pPr>
        <w:pStyle w:val="Bullet"/>
      </w:pPr>
      <w:r w:rsidRPr="008B3F92">
        <w:t>the exemption for persons in which foreign custodian corporations have interests.</w:t>
      </w:r>
      <w:r w:rsidR="000959DF">
        <w:rPr>
          <w:rStyle w:val="FootnoteReference"/>
          <w:rFonts w:cs="Calibri Light"/>
          <w:color w:val="000000"/>
          <w:szCs w:val="22"/>
        </w:rPr>
        <w:footnoteReference w:id="56"/>
      </w:r>
    </w:p>
    <w:p w14:paraId="62293EC4" w14:textId="18B88FAA" w:rsidR="00ED4F90" w:rsidRDefault="007550E8" w:rsidP="005913E9">
      <w:pPr>
        <w:pStyle w:val="Heading3"/>
        <w:spacing w:before="0" w:line="240" w:lineRule="auto"/>
        <w:rPr>
          <w:szCs w:val="28"/>
        </w:rPr>
      </w:pPr>
      <w:r>
        <w:rPr>
          <w:szCs w:val="28"/>
        </w:rPr>
        <w:lastRenderedPageBreak/>
        <w:t>Exemptions in the Regulation excluding certain interests from the Act</w:t>
      </w:r>
    </w:p>
    <w:p w14:paraId="1C7884EB" w14:textId="1CD198DF" w:rsidR="0087025B" w:rsidRDefault="006C397F" w:rsidP="00BB327F">
      <w:pPr>
        <w:spacing w:after="220"/>
        <w:rPr>
          <w:rFonts w:cs="Calibri Light"/>
          <w:color w:val="000000"/>
          <w:szCs w:val="22"/>
        </w:rPr>
      </w:pPr>
      <w:r w:rsidRPr="00740E75">
        <w:rPr>
          <w:rFonts w:cs="Calibri Light"/>
          <w:color w:val="000000"/>
          <w:szCs w:val="22"/>
        </w:rPr>
        <w:t xml:space="preserve">Some sections of the Regulation exclude part or </w:t>
      </w:r>
      <w:proofErr w:type="gramStart"/>
      <w:r w:rsidRPr="00740E75">
        <w:rPr>
          <w:rFonts w:cs="Calibri Light"/>
          <w:color w:val="000000"/>
          <w:szCs w:val="22"/>
        </w:rPr>
        <w:t>all of</w:t>
      </w:r>
      <w:proofErr w:type="gramEnd"/>
      <w:r w:rsidRPr="00740E75">
        <w:rPr>
          <w:rFonts w:cs="Calibri Light"/>
          <w:color w:val="000000"/>
          <w:szCs w:val="22"/>
        </w:rPr>
        <w:t xml:space="preserve"> the Act from applying to certain interests. These exemptions are outlined in Part 3 of the Regulation. </w:t>
      </w:r>
    </w:p>
    <w:p w14:paraId="6A68F3F7" w14:textId="0E3EC8E0" w:rsidR="00161574" w:rsidRDefault="00161574" w:rsidP="00D16E6F">
      <w:r>
        <w:t>Some of the</w:t>
      </w:r>
      <w:r w:rsidR="004F67D0">
        <w:t xml:space="preserve"> exemptions are:</w:t>
      </w:r>
    </w:p>
    <w:p w14:paraId="4637E843" w14:textId="40F115CB" w:rsidR="004F67D0" w:rsidRDefault="0027020C" w:rsidP="00D16E6F">
      <w:pPr>
        <w:pStyle w:val="Bullet"/>
      </w:pPr>
      <w:r>
        <w:t>the exemption for moneylending agreements;</w:t>
      </w:r>
      <w:r>
        <w:rPr>
          <w:rStyle w:val="FootnoteReference"/>
          <w:rFonts w:cs="Calibri Light"/>
          <w:color w:val="000000"/>
          <w:szCs w:val="22"/>
        </w:rPr>
        <w:footnoteReference w:id="57"/>
      </w:r>
    </w:p>
    <w:p w14:paraId="7BDDEF80" w14:textId="6A932C5A" w:rsidR="00F569FC" w:rsidRDefault="00525974" w:rsidP="00D16E6F">
      <w:pPr>
        <w:pStyle w:val="Bullet"/>
      </w:pPr>
      <w:r>
        <w:t>the exemption for revenue streams from mining or production tenements;</w:t>
      </w:r>
      <w:r w:rsidR="00390340">
        <w:rPr>
          <w:rStyle w:val="FootnoteReference"/>
          <w:rFonts w:cs="Calibri Light"/>
          <w:color w:val="000000"/>
          <w:szCs w:val="22"/>
        </w:rPr>
        <w:footnoteReference w:id="58"/>
      </w:r>
    </w:p>
    <w:p w14:paraId="525956B7" w14:textId="3499FDE6" w:rsidR="00525974" w:rsidRDefault="00525974" w:rsidP="00D16E6F">
      <w:pPr>
        <w:pStyle w:val="Bullet"/>
      </w:pPr>
      <w:r>
        <w:t>the exemption for exploration tenements acquired by non</w:t>
      </w:r>
      <w:r w:rsidR="003F2C1D">
        <w:noBreakHyphen/>
      </w:r>
      <w:r>
        <w:t>foreign government investors</w:t>
      </w:r>
      <w:r w:rsidR="00125452">
        <w:t>;</w:t>
      </w:r>
      <w:r w:rsidR="00DB5761">
        <w:rPr>
          <w:rStyle w:val="FootnoteReference"/>
          <w:rFonts w:cs="Calibri Light"/>
          <w:color w:val="000000"/>
          <w:szCs w:val="22"/>
        </w:rPr>
        <w:footnoteReference w:id="59"/>
      </w:r>
    </w:p>
    <w:p w14:paraId="4B3EB7DD" w14:textId="64DD9B0E" w:rsidR="00125452" w:rsidRDefault="00125452" w:rsidP="00D16E6F">
      <w:pPr>
        <w:pStyle w:val="Bullet"/>
      </w:pPr>
      <w:r>
        <w:t xml:space="preserve">the exemption for </w:t>
      </w:r>
      <w:r w:rsidR="003D75B0">
        <w:t>interests acquired by devolution by operation of law;</w:t>
      </w:r>
      <w:r w:rsidR="003D75B0">
        <w:rPr>
          <w:rStyle w:val="FootnoteReference"/>
          <w:rFonts w:cs="Calibri Light"/>
          <w:color w:val="000000"/>
          <w:szCs w:val="22"/>
        </w:rPr>
        <w:footnoteReference w:id="60"/>
      </w:r>
    </w:p>
    <w:p w14:paraId="24924F0A" w14:textId="0399042D" w:rsidR="004A7A9B" w:rsidRDefault="004A7A9B" w:rsidP="00D16E6F">
      <w:pPr>
        <w:pStyle w:val="Bullet"/>
      </w:pPr>
      <w:r>
        <w:t xml:space="preserve">the exemption for </w:t>
      </w:r>
      <w:r w:rsidR="00F63B4A">
        <w:t>Australian businesses carried on by</w:t>
      </w:r>
      <w:r w:rsidR="00E36ED2">
        <w:t>,</w:t>
      </w:r>
      <w:r w:rsidR="00F63B4A">
        <w:t xml:space="preserve"> or land acquired from</w:t>
      </w:r>
      <w:r w:rsidR="00E36ED2">
        <w:t>,</w:t>
      </w:r>
      <w:r w:rsidR="00F63B4A">
        <w:t xml:space="preserve"> government;</w:t>
      </w:r>
      <w:r w:rsidR="00E36ED2">
        <w:rPr>
          <w:rStyle w:val="FootnoteReference"/>
          <w:rFonts w:cs="Calibri Light"/>
          <w:color w:val="000000"/>
          <w:szCs w:val="22"/>
        </w:rPr>
        <w:footnoteReference w:id="61"/>
      </w:r>
    </w:p>
    <w:p w14:paraId="2041D21F" w14:textId="7D00E9B5" w:rsidR="00B148CF" w:rsidRDefault="00B148CF" w:rsidP="00D16E6F">
      <w:pPr>
        <w:pStyle w:val="Bullet"/>
      </w:pPr>
      <w:r>
        <w:t xml:space="preserve">the exemption for acquisitions of </w:t>
      </w:r>
      <w:r w:rsidR="00F76383">
        <w:t xml:space="preserve">interests in </w:t>
      </w:r>
      <w:r w:rsidR="00545442">
        <w:t xml:space="preserve">all types of </w:t>
      </w:r>
      <w:r>
        <w:t xml:space="preserve">Australian land by </w:t>
      </w:r>
      <w:r w:rsidR="008563EC">
        <w:t>people with a close connection to Australia (including Australian citizens who are not ordinarily resident in Australia</w:t>
      </w:r>
      <w:r w:rsidR="00C91D77">
        <w:t>)</w:t>
      </w:r>
      <w:r w:rsidR="00AA644E">
        <w:t>;</w:t>
      </w:r>
      <w:r w:rsidR="0081670C">
        <w:rPr>
          <w:rStyle w:val="FootnoteReference"/>
          <w:rFonts w:cs="Calibri Light"/>
          <w:color w:val="000000"/>
          <w:szCs w:val="22"/>
        </w:rPr>
        <w:footnoteReference w:id="62"/>
      </w:r>
    </w:p>
    <w:p w14:paraId="043BE664" w14:textId="2C5950BA" w:rsidR="00C91D77" w:rsidRDefault="00C91D77" w:rsidP="00D16E6F">
      <w:pPr>
        <w:pStyle w:val="Bullet"/>
      </w:pPr>
      <w:r>
        <w:t>the exemption for acquisitions of</w:t>
      </w:r>
      <w:r w:rsidR="00126852">
        <w:t xml:space="preserve"> interests</w:t>
      </w:r>
      <w:r w:rsidR="00C53676">
        <w:t xml:space="preserve"> in</w:t>
      </w:r>
      <w:r>
        <w:t xml:space="preserve"> agricultural land by spouses and de facto partners of Australian citizens</w:t>
      </w:r>
      <w:r w:rsidR="00646B0C">
        <w:t>;</w:t>
      </w:r>
      <w:r w:rsidR="009B6287">
        <w:rPr>
          <w:rStyle w:val="FootnoteReference"/>
          <w:rFonts w:cs="Calibri Light"/>
          <w:color w:val="000000"/>
          <w:szCs w:val="22"/>
        </w:rPr>
        <w:footnoteReference w:id="63"/>
      </w:r>
    </w:p>
    <w:p w14:paraId="47143983" w14:textId="7016DCF1" w:rsidR="00646B0C" w:rsidRDefault="00646B0C" w:rsidP="00D16E6F">
      <w:pPr>
        <w:pStyle w:val="Bullet"/>
      </w:pPr>
      <w:r>
        <w:t xml:space="preserve">the exemption for acquisitions of interests in residential land </w:t>
      </w:r>
      <w:r w:rsidR="00C53676">
        <w:t>by people with a connection to Australia (including permanent and special category visa holders and</w:t>
      </w:r>
      <w:r w:rsidR="009E7B14">
        <w:t xml:space="preserve"> </w:t>
      </w:r>
      <w:r w:rsidR="009522C3">
        <w:t>the spouse</w:t>
      </w:r>
      <w:r w:rsidR="00F042F0">
        <w:t>s</w:t>
      </w:r>
      <w:r w:rsidR="009522C3">
        <w:t xml:space="preserve"> </w:t>
      </w:r>
      <w:r w:rsidR="00F042F0">
        <w:t>and</w:t>
      </w:r>
      <w:r w:rsidR="009522C3">
        <w:t xml:space="preserve"> de facto partner</w:t>
      </w:r>
      <w:r w:rsidR="00F042F0">
        <w:t>s of permanent and special category visa holders</w:t>
      </w:r>
      <w:r w:rsidR="009522C3">
        <w:t>)</w:t>
      </w:r>
      <w:r w:rsidR="000C1F15">
        <w:t>;</w:t>
      </w:r>
      <w:r w:rsidR="009522C3">
        <w:rPr>
          <w:rStyle w:val="FootnoteReference"/>
          <w:rFonts w:cs="Calibri Light"/>
          <w:color w:val="000000"/>
          <w:szCs w:val="22"/>
        </w:rPr>
        <w:footnoteReference w:id="64"/>
      </w:r>
    </w:p>
    <w:p w14:paraId="2C46C345" w14:textId="2814C92C" w:rsidR="00905414" w:rsidRDefault="00905414" w:rsidP="00F54281">
      <w:pPr>
        <w:pStyle w:val="Dash"/>
        <w:numPr>
          <w:ilvl w:val="0"/>
          <w:numId w:val="9"/>
        </w:numPr>
      </w:pPr>
      <w:r>
        <w:t xml:space="preserve">the exemption for </w:t>
      </w:r>
      <w:r w:rsidRPr="00084C7D">
        <w:t>acquisition</w:t>
      </w:r>
      <w:r>
        <w:t>s that</w:t>
      </w:r>
      <w:r w:rsidRPr="00084C7D">
        <w:t xml:space="preserve"> </w:t>
      </w:r>
      <w:r>
        <w:t xml:space="preserve">occur by way of a rights issue that </w:t>
      </w:r>
      <w:r w:rsidRPr="00084C7D">
        <w:t>do not result in a change in the share of ownership held</w:t>
      </w:r>
      <w:r>
        <w:t xml:space="preserve"> following the</w:t>
      </w:r>
      <w:r w:rsidRPr="00084C7D">
        <w:t xml:space="preserve"> issue</w:t>
      </w:r>
      <w:r>
        <w:t>,</w:t>
      </w:r>
      <w:r>
        <w:rPr>
          <w:rStyle w:val="FootnoteReference"/>
        </w:rPr>
        <w:footnoteReference w:id="65"/>
      </w:r>
    </w:p>
    <w:p w14:paraId="0D0AC251" w14:textId="1D0F7EB0" w:rsidR="000C1F15" w:rsidRDefault="006C3328" w:rsidP="00D16E6F">
      <w:pPr>
        <w:pStyle w:val="Bullet"/>
      </w:pPr>
      <w:r>
        <w:t xml:space="preserve">the exemption </w:t>
      </w:r>
      <w:r w:rsidR="000E39B5">
        <w:t xml:space="preserve">(in relation to section 130ZC of the Act) </w:t>
      </w:r>
      <w:r>
        <w:t xml:space="preserve">for interests held by a person when becoming a foreign person if the person would not need to give a register </w:t>
      </w:r>
      <w:r w:rsidR="00AD4A1E">
        <w:t>notice if the person were to acquire that interest while a foreign person.</w:t>
      </w:r>
      <w:r w:rsidR="00AD4A1E">
        <w:rPr>
          <w:rStyle w:val="FootnoteReference"/>
          <w:rFonts w:cs="Calibri Light"/>
          <w:color w:val="000000"/>
          <w:szCs w:val="22"/>
        </w:rPr>
        <w:footnoteReference w:id="66"/>
      </w:r>
    </w:p>
    <w:p w14:paraId="504C097E" w14:textId="77777777" w:rsidR="00051CCA" w:rsidRDefault="00051CCA">
      <w:pPr>
        <w:spacing w:before="0" w:after="0"/>
        <w:rPr>
          <w:rFonts w:ascii="Calibri" w:hAnsi="Calibri" w:cs="Arial"/>
          <w:iCs/>
          <w:color w:val="2C384A"/>
          <w:kern w:val="32"/>
          <w:sz w:val="36"/>
          <w:szCs w:val="28"/>
        </w:rPr>
      </w:pPr>
      <w:r>
        <w:br w:type="page"/>
      </w:r>
    </w:p>
    <w:p w14:paraId="4DBF5EB3" w14:textId="07945DD2" w:rsidR="00D20212" w:rsidRDefault="00596A66" w:rsidP="005913E9">
      <w:pPr>
        <w:pStyle w:val="Heading2"/>
      </w:pPr>
      <w:bookmarkStart w:id="11" w:name="_Toc140150192"/>
      <w:r>
        <w:lastRenderedPageBreak/>
        <w:t>H</w:t>
      </w:r>
      <w:r w:rsidR="00D20212" w:rsidRPr="004400FB">
        <w:t xml:space="preserve">: </w:t>
      </w:r>
      <w:r w:rsidR="00D76BE1">
        <w:t>How to give a register notice</w:t>
      </w:r>
      <w:bookmarkEnd w:id="11"/>
    </w:p>
    <w:p w14:paraId="37F2B2F8" w14:textId="63386428" w:rsidR="006218EB" w:rsidRPr="00A37F8F" w:rsidRDefault="006218EB" w:rsidP="005913E9">
      <w:pPr>
        <w:spacing w:before="0" w:after="220"/>
        <w:rPr>
          <w:rFonts w:cs="Calibri Light"/>
          <w:color w:val="000000"/>
          <w:szCs w:val="22"/>
        </w:rPr>
      </w:pPr>
      <w:r w:rsidRPr="00A37F8F">
        <w:rPr>
          <w:rFonts w:cs="Calibri Light"/>
          <w:color w:val="000000"/>
          <w:szCs w:val="22"/>
        </w:rPr>
        <w:t xml:space="preserve">You must give a register notice electronically through </w:t>
      </w:r>
      <w:hyperlink r:id="rId11" w:history="1">
        <w:r w:rsidRPr="00A37F8F">
          <w:rPr>
            <w:rStyle w:val="Hyperlink"/>
            <w:rFonts w:cs="Calibri Light"/>
            <w:szCs w:val="22"/>
          </w:rPr>
          <w:t>Online services for foreign investors</w:t>
        </w:r>
      </w:hyperlink>
      <w:r w:rsidRPr="00A37F8F">
        <w:rPr>
          <w:rFonts w:cs="Calibri Light"/>
          <w:color w:val="000000"/>
          <w:szCs w:val="22"/>
        </w:rPr>
        <w:t xml:space="preserve"> (the service). A register notice </w:t>
      </w:r>
      <w:r w:rsidR="00B935BB">
        <w:rPr>
          <w:rFonts w:cs="Calibri Light"/>
          <w:color w:val="000000"/>
          <w:szCs w:val="22"/>
        </w:rPr>
        <w:t>should</w:t>
      </w:r>
      <w:r w:rsidR="00B935BB" w:rsidRPr="00A37F8F">
        <w:rPr>
          <w:rFonts w:cs="Calibri Light"/>
          <w:color w:val="000000"/>
          <w:szCs w:val="22"/>
        </w:rPr>
        <w:t xml:space="preserve"> </w:t>
      </w:r>
      <w:r w:rsidRPr="00A37F8F">
        <w:rPr>
          <w:rFonts w:cs="Calibri Light"/>
          <w:color w:val="000000"/>
          <w:szCs w:val="22"/>
        </w:rPr>
        <w:t>contain information relating to the identity of the foreign person who acquired the interest, as well as information about the interest acquired or change in registered circumstance that occurred. This information may include personal information such as names, addresses and contact details, asset details such as type, action, date of acquisition, intended usage and consideration for the interest, and change in registered circumstances such as foreign person status or divestment.</w:t>
      </w:r>
      <w:r w:rsidRPr="00A37F8F">
        <w:rPr>
          <w:rStyle w:val="FootnoteReference"/>
          <w:rFonts w:cs="Calibri Light"/>
          <w:color w:val="000000"/>
          <w:szCs w:val="22"/>
        </w:rPr>
        <w:footnoteReference w:id="67"/>
      </w:r>
    </w:p>
    <w:p w14:paraId="74C8A84F" w14:textId="22C6E02D" w:rsidR="006218EB" w:rsidRPr="00A37F8F" w:rsidRDefault="006218EB" w:rsidP="005913E9">
      <w:pPr>
        <w:spacing w:before="0" w:after="220"/>
        <w:rPr>
          <w:rFonts w:cs="Calibri Light"/>
          <w:color w:val="000000"/>
          <w:szCs w:val="22"/>
        </w:rPr>
      </w:pPr>
      <w:r w:rsidRPr="00A37F8F">
        <w:rPr>
          <w:rFonts w:cs="Calibri Light"/>
          <w:color w:val="000000"/>
          <w:szCs w:val="22"/>
        </w:rPr>
        <w:t xml:space="preserve">To use the service, you will need a </w:t>
      </w:r>
      <w:proofErr w:type="spellStart"/>
      <w:r w:rsidRPr="00A37F8F">
        <w:rPr>
          <w:rFonts w:cs="Calibri Light"/>
          <w:color w:val="000000"/>
          <w:szCs w:val="22"/>
        </w:rPr>
        <w:t>myID</w:t>
      </w:r>
      <w:proofErr w:type="spellEnd"/>
      <w:r w:rsidRPr="00A37F8F">
        <w:rPr>
          <w:rFonts w:cs="Calibri Light"/>
          <w:color w:val="000000"/>
          <w:szCs w:val="22"/>
        </w:rPr>
        <w:t xml:space="preserve">. For information on how to set up a </w:t>
      </w:r>
      <w:proofErr w:type="spellStart"/>
      <w:r w:rsidRPr="00A37F8F">
        <w:rPr>
          <w:rFonts w:cs="Calibri Light"/>
          <w:color w:val="000000"/>
          <w:szCs w:val="22"/>
        </w:rPr>
        <w:t>myID</w:t>
      </w:r>
      <w:proofErr w:type="spellEnd"/>
      <w:r w:rsidRPr="00A37F8F">
        <w:rPr>
          <w:rFonts w:cs="Calibri Light"/>
          <w:color w:val="000000"/>
          <w:szCs w:val="22"/>
        </w:rPr>
        <w:t xml:space="preserve">, go to </w:t>
      </w:r>
      <w:hyperlink r:id="rId12" w:history="1">
        <w:r w:rsidR="00846FBB">
          <w:rPr>
            <w:rStyle w:val="Hyperlink"/>
            <w:rFonts w:cs="Calibri Light"/>
            <w:szCs w:val="22"/>
          </w:rPr>
          <w:t>the</w:t>
        </w:r>
        <w:r w:rsidR="00B67A45">
          <w:rPr>
            <w:rStyle w:val="Hyperlink"/>
            <w:rFonts w:cs="Calibri Light"/>
            <w:szCs w:val="22"/>
          </w:rPr>
          <w:t> </w:t>
        </w:r>
        <w:proofErr w:type="spellStart"/>
        <w:r w:rsidR="00846FBB">
          <w:rPr>
            <w:rStyle w:val="Hyperlink"/>
            <w:rFonts w:cs="Calibri Light"/>
            <w:szCs w:val="22"/>
          </w:rPr>
          <w:t>myID</w:t>
        </w:r>
        <w:proofErr w:type="spellEnd"/>
        <w:r w:rsidR="00846FBB">
          <w:rPr>
            <w:rStyle w:val="Hyperlink"/>
            <w:rFonts w:cs="Calibri Light"/>
            <w:szCs w:val="22"/>
          </w:rPr>
          <w:t xml:space="preserve"> website</w:t>
        </w:r>
      </w:hyperlink>
      <w:r w:rsidRPr="00A37F8F">
        <w:rPr>
          <w:rFonts w:cs="Calibri Light"/>
          <w:color w:val="000000"/>
          <w:szCs w:val="22"/>
        </w:rPr>
        <w:t xml:space="preserve">. </w:t>
      </w:r>
    </w:p>
    <w:p w14:paraId="50EDE532" w14:textId="77777777" w:rsidR="006218EB" w:rsidRPr="00A37F8F" w:rsidRDefault="006218EB" w:rsidP="005913E9">
      <w:pPr>
        <w:spacing w:before="0" w:after="220"/>
        <w:rPr>
          <w:rFonts w:cs="Calibri Light"/>
          <w:color w:val="000000"/>
          <w:szCs w:val="22"/>
        </w:rPr>
      </w:pPr>
      <w:r w:rsidRPr="00A37F8F">
        <w:rPr>
          <w:rFonts w:cs="Calibri Light"/>
          <w:color w:val="000000"/>
          <w:szCs w:val="22"/>
        </w:rPr>
        <w:t xml:space="preserve">You can authorise a representative to give a register notice on your behalf. To do so, you will first need to set up access to the service. Once you have done so, you can log in to the service to authorise a representative. </w:t>
      </w:r>
    </w:p>
    <w:p w14:paraId="517E8ACD" w14:textId="6F11A8BF" w:rsidR="006218EB" w:rsidRPr="00A37F8F" w:rsidRDefault="006218EB" w:rsidP="005913E9">
      <w:pPr>
        <w:spacing w:before="0" w:after="220"/>
        <w:rPr>
          <w:rFonts w:cs="Calibri Light"/>
          <w:color w:val="000000"/>
          <w:szCs w:val="22"/>
        </w:rPr>
      </w:pPr>
      <w:r w:rsidRPr="00A37F8F">
        <w:rPr>
          <w:rFonts w:cs="Calibri Light"/>
          <w:color w:val="000000"/>
          <w:szCs w:val="22"/>
        </w:rPr>
        <w:t xml:space="preserve">Further information can be found on </w:t>
      </w:r>
      <w:hyperlink r:id="rId13" w:history="1">
        <w:r w:rsidRPr="00A37F8F">
          <w:rPr>
            <w:rStyle w:val="Hyperlink"/>
            <w:rFonts w:cs="Calibri Light"/>
            <w:szCs w:val="22"/>
          </w:rPr>
          <w:t>the ATO website</w:t>
        </w:r>
      </w:hyperlink>
      <w:r w:rsidRPr="00A37F8F">
        <w:rPr>
          <w:rFonts w:cs="Calibri Light"/>
          <w:color w:val="000000"/>
          <w:szCs w:val="22"/>
        </w:rPr>
        <w:t xml:space="preserve">. If you are unable to give a register notice through the service because of technical difficulties, </w:t>
      </w:r>
      <w:hyperlink r:id="rId14" w:history="1">
        <w:r w:rsidRPr="00A37F8F">
          <w:rPr>
            <w:rStyle w:val="Hyperlink"/>
            <w:rFonts w:cs="Calibri Light"/>
            <w:szCs w:val="22"/>
          </w:rPr>
          <w:t>contact the ATO</w:t>
        </w:r>
      </w:hyperlink>
      <w:r w:rsidRPr="00A37F8F">
        <w:rPr>
          <w:rFonts w:cs="Calibri Light"/>
          <w:color w:val="000000"/>
          <w:szCs w:val="22"/>
        </w:rPr>
        <w:t xml:space="preserve">. </w:t>
      </w:r>
    </w:p>
    <w:p w14:paraId="0661A4D9" w14:textId="6737E6D6" w:rsidR="00D76BE1" w:rsidRDefault="00596A66" w:rsidP="005913E9">
      <w:pPr>
        <w:pStyle w:val="Heading2"/>
      </w:pPr>
      <w:bookmarkStart w:id="12" w:name="_Toc140150193"/>
      <w:r>
        <w:t>I</w:t>
      </w:r>
      <w:r w:rsidR="00D76BE1" w:rsidRPr="004400FB">
        <w:t xml:space="preserve">: </w:t>
      </w:r>
      <w:r w:rsidR="00C16FFE">
        <w:t>How information given to the Registrar will be treated</w:t>
      </w:r>
      <w:bookmarkEnd w:id="12"/>
    </w:p>
    <w:p w14:paraId="7D3B9146" w14:textId="1B73A31D" w:rsidR="004409B3" w:rsidRPr="004A5C11" w:rsidRDefault="004409B3" w:rsidP="005913E9">
      <w:pPr>
        <w:spacing w:before="0" w:after="220"/>
        <w:rPr>
          <w:rFonts w:cs="Calibri Light"/>
          <w:color w:val="000000"/>
          <w:szCs w:val="22"/>
        </w:rPr>
      </w:pPr>
      <w:r w:rsidRPr="004A5C11">
        <w:rPr>
          <w:rFonts w:cs="Calibri Light"/>
          <w:color w:val="000000"/>
          <w:szCs w:val="22"/>
        </w:rPr>
        <w:t>The information on the Register will not be publicly available. The information you give to the Registrar may only be used, recorded or disclosed consistent with the protected information provisions of the Act</w:t>
      </w:r>
      <w:r w:rsidRPr="004A5C11">
        <w:rPr>
          <w:rStyle w:val="FootnoteReference"/>
          <w:rFonts w:cs="Calibri Light"/>
          <w:color w:val="000000"/>
          <w:szCs w:val="22"/>
        </w:rPr>
        <w:footnoteReference w:id="68"/>
      </w:r>
      <w:r w:rsidR="005F4AFB">
        <w:rPr>
          <w:rFonts w:cs="Calibri Light"/>
          <w:color w:val="000000"/>
          <w:szCs w:val="22"/>
        </w:rPr>
        <w:t xml:space="preserve"> and other relevant legal requirements</w:t>
      </w:r>
      <w:r w:rsidR="006F2102">
        <w:rPr>
          <w:rFonts w:cs="Calibri Light"/>
          <w:color w:val="000000"/>
          <w:szCs w:val="22"/>
        </w:rPr>
        <w:t xml:space="preserve">. </w:t>
      </w:r>
    </w:p>
    <w:p w14:paraId="04A4F7F5" w14:textId="41AF7E9B" w:rsidR="00C16FFE" w:rsidRPr="00212219" w:rsidRDefault="004409B3" w:rsidP="005913E9">
      <w:pPr>
        <w:spacing w:before="0" w:after="220"/>
        <w:rPr>
          <w:rFonts w:cs="Calibri Light"/>
          <w:color w:val="000000"/>
          <w:szCs w:val="22"/>
        </w:rPr>
      </w:pPr>
      <w:r w:rsidRPr="004A5C11">
        <w:rPr>
          <w:rFonts w:cs="Calibri Light"/>
          <w:color w:val="000000"/>
          <w:szCs w:val="22"/>
        </w:rPr>
        <w:t>The Registrar is required to give the Treasurer</w:t>
      </w:r>
      <w:r w:rsidR="00D252C4">
        <w:rPr>
          <w:rFonts w:cs="Calibri Light"/>
          <w:color w:val="000000"/>
          <w:szCs w:val="22"/>
        </w:rPr>
        <w:t>, for presentation to the Parliament,</w:t>
      </w:r>
      <w:r w:rsidRPr="004A5C11">
        <w:rPr>
          <w:rFonts w:cs="Calibri Light"/>
          <w:color w:val="000000"/>
          <w:szCs w:val="22"/>
        </w:rPr>
        <w:t xml:space="preserve"> an annual report using de</w:t>
      </w:r>
      <w:r w:rsidR="003F2C1D">
        <w:rPr>
          <w:rFonts w:cs="Calibri Light"/>
          <w:color w:val="000000"/>
          <w:szCs w:val="22"/>
        </w:rPr>
        <w:noBreakHyphen/>
      </w:r>
      <w:r w:rsidRPr="004A5C11">
        <w:rPr>
          <w:rFonts w:cs="Calibri Light"/>
          <w:color w:val="000000"/>
          <w:szCs w:val="22"/>
        </w:rPr>
        <w:t>identified statistical information from the Register. This must occur as soon as practicable after 30 June each year.</w:t>
      </w:r>
      <w:r w:rsidR="00314C6B">
        <w:rPr>
          <w:rStyle w:val="FootnoteReference"/>
          <w:rFonts w:cs="Calibri Light"/>
          <w:color w:val="000000"/>
          <w:szCs w:val="22"/>
        </w:rPr>
        <w:footnoteReference w:id="69"/>
      </w:r>
    </w:p>
    <w:p w14:paraId="76E97552" w14:textId="77777777" w:rsidR="00FB3383" w:rsidRPr="00846FBB" w:rsidRDefault="00FB3383">
      <w:pPr>
        <w:spacing w:before="0" w:after="0"/>
      </w:pPr>
      <w:r w:rsidRPr="00846FBB">
        <w:br w:type="page"/>
      </w:r>
    </w:p>
    <w:p w14:paraId="38F13239" w14:textId="4EF6CA1F" w:rsidR="00C16FFE" w:rsidRDefault="00596A66" w:rsidP="005913E9">
      <w:pPr>
        <w:pStyle w:val="Heading2"/>
      </w:pPr>
      <w:bookmarkStart w:id="13" w:name="_Toc140150194"/>
      <w:r>
        <w:lastRenderedPageBreak/>
        <w:t>J</w:t>
      </w:r>
      <w:r w:rsidR="00C16FFE" w:rsidRPr="004400FB">
        <w:t xml:space="preserve">: </w:t>
      </w:r>
      <w:r w:rsidR="00014BCF">
        <w:t>Record</w:t>
      </w:r>
      <w:r w:rsidR="003F2C1D">
        <w:noBreakHyphen/>
      </w:r>
      <w:r w:rsidR="00014BCF">
        <w:t>keeping and penalties</w:t>
      </w:r>
      <w:bookmarkEnd w:id="13"/>
    </w:p>
    <w:p w14:paraId="34AAFFA2" w14:textId="47C1D723" w:rsidR="00212219" w:rsidRDefault="00032672" w:rsidP="005913E9">
      <w:pPr>
        <w:pStyle w:val="Heading3"/>
        <w:spacing w:before="0" w:line="240" w:lineRule="auto"/>
        <w:rPr>
          <w:szCs w:val="28"/>
        </w:rPr>
      </w:pPr>
      <w:r>
        <w:rPr>
          <w:szCs w:val="28"/>
        </w:rPr>
        <w:t>Record</w:t>
      </w:r>
      <w:r w:rsidR="003F2C1D">
        <w:rPr>
          <w:szCs w:val="28"/>
        </w:rPr>
        <w:noBreakHyphen/>
      </w:r>
      <w:r>
        <w:rPr>
          <w:szCs w:val="28"/>
        </w:rPr>
        <w:t>keeping</w:t>
      </w:r>
    </w:p>
    <w:p w14:paraId="431A3038" w14:textId="640A9E7B" w:rsidR="007E6A19" w:rsidRPr="002F28EF" w:rsidRDefault="00C862C7" w:rsidP="00AC722E">
      <w:pPr>
        <w:spacing w:after="220"/>
        <w:rPr>
          <w:rFonts w:cs="Calibri Light"/>
          <w:color w:val="000000"/>
          <w:szCs w:val="22"/>
        </w:rPr>
      </w:pPr>
      <w:r w:rsidRPr="005E3B4A">
        <w:rPr>
          <w:rFonts w:cs="Calibri Light"/>
          <w:color w:val="000000"/>
          <w:szCs w:val="22"/>
        </w:rPr>
        <w:t>You must make records relating to register notices and keep those records for 5 years.</w:t>
      </w:r>
      <w:r w:rsidRPr="005E3B4A">
        <w:rPr>
          <w:rStyle w:val="FootnoteReference"/>
          <w:rFonts w:cs="Calibri Light"/>
          <w:color w:val="000000"/>
          <w:szCs w:val="22"/>
        </w:rPr>
        <w:footnoteReference w:id="70"/>
      </w:r>
      <w:r w:rsidRPr="005E3B4A">
        <w:rPr>
          <w:rFonts w:cs="Calibri Light"/>
          <w:color w:val="000000"/>
          <w:szCs w:val="22"/>
        </w:rPr>
        <w:t xml:space="preserve"> </w:t>
      </w:r>
      <w:r w:rsidR="007A19DC">
        <w:rPr>
          <w:rFonts w:cs="Calibri Light"/>
          <w:color w:val="000000"/>
          <w:szCs w:val="22"/>
        </w:rPr>
        <w:t>You may commit</w:t>
      </w:r>
      <w:r w:rsidRPr="005E3B4A">
        <w:rPr>
          <w:rFonts w:cs="Calibri Light"/>
          <w:color w:val="000000"/>
          <w:szCs w:val="22"/>
        </w:rPr>
        <w:t xml:space="preserve"> an offence if you do not do so.</w:t>
      </w:r>
      <w:r w:rsidRPr="005E3B4A">
        <w:rPr>
          <w:rStyle w:val="FootnoteReference"/>
          <w:rFonts w:cs="Calibri Light"/>
          <w:color w:val="000000"/>
          <w:szCs w:val="22"/>
        </w:rPr>
        <w:footnoteReference w:id="71"/>
      </w:r>
    </w:p>
    <w:p w14:paraId="49F91ED3" w14:textId="0AF95FC5" w:rsidR="007E6A19" w:rsidRDefault="007E6A19" w:rsidP="005913E9">
      <w:pPr>
        <w:pStyle w:val="Heading3"/>
        <w:spacing w:before="0" w:line="240" w:lineRule="auto"/>
        <w:rPr>
          <w:szCs w:val="28"/>
        </w:rPr>
      </w:pPr>
      <w:r>
        <w:rPr>
          <w:szCs w:val="28"/>
        </w:rPr>
        <w:t>Failure to give a register notice</w:t>
      </w:r>
    </w:p>
    <w:p w14:paraId="7534982A" w14:textId="6D8E8215" w:rsidR="001C4178" w:rsidRPr="001E709A" w:rsidRDefault="003169B7" w:rsidP="00AC722E">
      <w:pPr>
        <w:spacing w:after="220"/>
        <w:rPr>
          <w:rFonts w:cs="Calibri Light"/>
          <w:color w:val="000000"/>
          <w:szCs w:val="22"/>
        </w:rPr>
      </w:pPr>
      <w:r>
        <w:rPr>
          <w:rFonts w:cs="Calibri Light"/>
          <w:color w:val="000000"/>
          <w:szCs w:val="22"/>
        </w:rPr>
        <w:t>A</w:t>
      </w:r>
      <w:r w:rsidR="001C4178" w:rsidRPr="001E709A">
        <w:rPr>
          <w:rFonts w:cs="Calibri Light"/>
          <w:color w:val="000000"/>
          <w:szCs w:val="22"/>
        </w:rPr>
        <w:t xml:space="preserve"> civil penalty may apply </w:t>
      </w:r>
      <w:r w:rsidR="00623AE1">
        <w:rPr>
          <w:rFonts w:cs="Calibri Light"/>
          <w:color w:val="000000"/>
          <w:szCs w:val="22"/>
        </w:rPr>
        <w:t>if you</w:t>
      </w:r>
      <w:r w:rsidR="00623AE1" w:rsidRPr="001E709A">
        <w:rPr>
          <w:rFonts w:cs="Calibri Light"/>
          <w:color w:val="000000"/>
          <w:szCs w:val="22"/>
        </w:rPr>
        <w:t xml:space="preserve"> </w:t>
      </w:r>
      <w:r w:rsidR="001C4178" w:rsidRPr="001E709A">
        <w:rPr>
          <w:rFonts w:cs="Calibri Light"/>
          <w:color w:val="000000"/>
          <w:szCs w:val="22"/>
        </w:rPr>
        <w:t>fail to give a register notice when you are required to do so.</w:t>
      </w:r>
      <w:r w:rsidR="001C4178" w:rsidRPr="001E709A">
        <w:rPr>
          <w:rStyle w:val="FootnoteReference"/>
          <w:rFonts w:cs="Calibri Light"/>
          <w:color w:val="000000"/>
          <w:szCs w:val="22"/>
        </w:rPr>
        <w:footnoteReference w:id="72"/>
      </w:r>
      <w:r w:rsidR="00080542">
        <w:rPr>
          <w:rFonts w:cs="Calibri Light"/>
          <w:color w:val="000000"/>
          <w:szCs w:val="22"/>
        </w:rPr>
        <w:t xml:space="preserve"> </w:t>
      </w:r>
      <w:r w:rsidR="008E4C13">
        <w:rPr>
          <w:rFonts w:cs="Calibri Light"/>
          <w:color w:val="000000"/>
          <w:szCs w:val="22"/>
        </w:rPr>
        <w:t>The Commonwealth may issue infringement notices in relation to alleged contraventions.</w:t>
      </w:r>
      <w:r w:rsidR="008E4C13">
        <w:rPr>
          <w:rStyle w:val="FootnoteReference"/>
          <w:rFonts w:cs="Calibri Light"/>
          <w:color w:val="000000"/>
          <w:szCs w:val="22"/>
        </w:rPr>
        <w:footnoteReference w:id="73"/>
      </w:r>
    </w:p>
    <w:p w14:paraId="65A590D0" w14:textId="73D8E5AC" w:rsidR="007566A8" w:rsidRDefault="00B91571" w:rsidP="005913E9">
      <w:pPr>
        <w:pStyle w:val="Heading3"/>
        <w:spacing w:before="0" w:line="240" w:lineRule="auto"/>
        <w:rPr>
          <w:szCs w:val="28"/>
        </w:rPr>
      </w:pPr>
      <w:r>
        <w:rPr>
          <w:szCs w:val="28"/>
        </w:rPr>
        <w:t>False or misleading information</w:t>
      </w:r>
    </w:p>
    <w:p w14:paraId="004CEBBE" w14:textId="3F9477E6" w:rsidR="007425FC" w:rsidRDefault="007425FC" w:rsidP="00AC722E">
      <w:pPr>
        <w:spacing w:after="220"/>
        <w:rPr>
          <w:rFonts w:cs="Calibri Light"/>
          <w:color w:val="000000"/>
          <w:szCs w:val="22"/>
        </w:rPr>
      </w:pPr>
      <w:r w:rsidRPr="007E3CA1">
        <w:rPr>
          <w:rFonts w:cs="Calibri Light"/>
          <w:color w:val="000000"/>
          <w:szCs w:val="22"/>
        </w:rPr>
        <w:t xml:space="preserve">The information given by you </w:t>
      </w:r>
      <w:r w:rsidR="00F81A06">
        <w:rPr>
          <w:rFonts w:cs="Calibri Light"/>
          <w:color w:val="000000"/>
          <w:szCs w:val="22"/>
        </w:rPr>
        <w:t>and</w:t>
      </w:r>
      <w:r w:rsidRPr="007E3CA1">
        <w:rPr>
          <w:rFonts w:cs="Calibri Light"/>
          <w:color w:val="000000"/>
          <w:szCs w:val="22"/>
        </w:rPr>
        <w:t xml:space="preserve"> your representative must be accurate, factual and complete. </w:t>
      </w:r>
      <w:r w:rsidR="00004F3F">
        <w:rPr>
          <w:rFonts w:cs="Calibri Light"/>
          <w:color w:val="000000"/>
          <w:szCs w:val="22"/>
        </w:rPr>
        <w:t>You may commit</w:t>
      </w:r>
      <w:r w:rsidRPr="007E3CA1">
        <w:rPr>
          <w:rFonts w:cs="Calibri Light"/>
          <w:color w:val="000000"/>
          <w:szCs w:val="22"/>
        </w:rPr>
        <w:t xml:space="preserve"> an offence </w:t>
      </w:r>
      <w:r w:rsidR="00B10F0E">
        <w:rPr>
          <w:rFonts w:cs="Calibri Light"/>
          <w:color w:val="000000"/>
          <w:szCs w:val="22"/>
        </w:rPr>
        <w:t>if you</w:t>
      </w:r>
      <w:r w:rsidRPr="007E3CA1">
        <w:rPr>
          <w:rFonts w:cs="Calibri Light"/>
          <w:color w:val="000000"/>
          <w:szCs w:val="22"/>
        </w:rPr>
        <w:t xml:space="preserve"> provide false or misleading information or documents to a Commonwealth officer or entity.</w:t>
      </w:r>
      <w:r w:rsidRPr="007E3CA1">
        <w:rPr>
          <w:rStyle w:val="FootnoteReference"/>
          <w:rFonts w:cs="Calibri Light"/>
          <w:color w:val="000000"/>
          <w:szCs w:val="22"/>
        </w:rPr>
        <w:footnoteReference w:id="74"/>
      </w:r>
      <w:r w:rsidRPr="007E3CA1">
        <w:rPr>
          <w:rFonts w:cs="Calibri Light"/>
          <w:color w:val="000000"/>
          <w:szCs w:val="22"/>
        </w:rPr>
        <w:t xml:space="preserve"> </w:t>
      </w:r>
    </w:p>
    <w:p w14:paraId="08DFC96C" w14:textId="1C1ED5B3" w:rsidR="00BA7DD8" w:rsidRPr="004400FB" w:rsidRDefault="00BA7DD8" w:rsidP="005913E9">
      <w:pPr>
        <w:pStyle w:val="Heading2"/>
      </w:pPr>
      <w:bookmarkStart w:id="14" w:name="_Toc140150195"/>
      <w:r>
        <w:t>F</w:t>
      </w:r>
      <w:r w:rsidR="00AB494A">
        <w:t>urther information</w:t>
      </w:r>
      <w:bookmarkEnd w:id="14"/>
    </w:p>
    <w:p w14:paraId="070FAD30" w14:textId="1383A57E" w:rsidR="00A62472" w:rsidRDefault="00A62472" w:rsidP="005913E9">
      <w:pPr>
        <w:spacing w:before="0" w:after="220"/>
        <w:rPr>
          <w:rFonts w:cs="Calibri Light"/>
          <w:color w:val="000000"/>
          <w:szCs w:val="22"/>
        </w:rPr>
      </w:pPr>
      <w:r w:rsidRPr="00E7404E">
        <w:rPr>
          <w:rFonts w:cs="Calibri Light"/>
          <w:color w:val="000000"/>
          <w:szCs w:val="22"/>
        </w:rPr>
        <w:t xml:space="preserve">Further information can be found on </w:t>
      </w:r>
      <w:hyperlink r:id="rId15" w:history="1">
        <w:r w:rsidRPr="00E7404E">
          <w:rPr>
            <w:rStyle w:val="Hyperlink"/>
            <w:rFonts w:cs="Calibri Light"/>
            <w:szCs w:val="22"/>
          </w:rPr>
          <w:t>the ATO website</w:t>
        </w:r>
      </w:hyperlink>
      <w:r w:rsidRPr="00E7404E">
        <w:rPr>
          <w:rFonts w:cs="Calibri Light"/>
          <w:color w:val="000000"/>
          <w:szCs w:val="22"/>
        </w:rPr>
        <w:t xml:space="preserve">. </w:t>
      </w:r>
    </w:p>
    <w:p w14:paraId="63DF73C3" w14:textId="3C70A139" w:rsidR="00777FBC" w:rsidRDefault="00777FBC" w:rsidP="00777FBC">
      <w:pPr>
        <w:spacing w:before="0" w:after="220"/>
        <w:rPr>
          <w:rFonts w:cs="Calibri Light"/>
          <w:color w:val="000000"/>
          <w:szCs w:val="22"/>
        </w:rPr>
      </w:pPr>
      <w:r w:rsidRPr="00E7404E">
        <w:rPr>
          <w:rFonts w:cs="Calibri Light"/>
          <w:color w:val="000000"/>
          <w:szCs w:val="22"/>
        </w:rPr>
        <w:t xml:space="preserve">If you would like further information on your notification obligations as a foreign investor, we encourage you to engage with us by emailing us at </w:t>
      </w:r>
      <w:r w:rsidRPr="00E7404E">
        <w:rPr>
          <w:rFonts w:cs="Calibri Light"/>
          <w:color w:val="000000"/>
          <w:szCs w:val="22"/>
        </w:rPr>
        <w:br/>
      </w:r>
      <w:hyperlink r:id="rId16" w:history="1">
        <w:r w:rsidRPr="00243C1C">
          <w:rPr>
            <w:rStyle w:val="Hyperlink"/>
            <w:rFonts w:cs="Calibri Light"/>
            <w:szCs w:val="22"/>
          </w:rPr>
          <w:t>foreigninvestmentcompliance@treasury.gov.au</w:t>
        </w:r>
      </w:hyperlink>
      <w:r w:rsidRPr="00E7404E">
        <w:rPr>
          <w:rFonts w:cs="Calibri Light"/>
          <w:color w:val="000000"/>
          <w:szCs w:val="22"/>
        </w:rPr>
        <w:t xml:space="preserve">. </w:t>
      </w:r>
    </w:p>
    <w:p w14:paraId="674500DE" w14:textId="47E5E85D" w:rsidR="00664B09" w:rsidRPr="00E7404E" w:rsidRDefault="001F4C16" w:rsidP="00777FBC">
      <w:pPr>
        <w:spacing w:before="0" w:after="220"/>
        <w:rPr>
          <w:rFonts w:cs="Calibri Light"/>
          <w:color w:val="000000"/>
          <w:szCs w:val="22"/>
        </w:rPr>
      </w:pPr>
      <w:r>
        <w:rPr>
          <w:rFonts w:cs="Calibri Light"/>
          <w:color w:val="000000"/>
          <w:szCs w:val="22"/>
        </w:rPr>
        <w:t xml:space="preserve">If you have general queries about the foreign investment framework, you can email </w:t>
      </w:r>
      <w:hyperlink r:id="rId17" w:history="1">
        <w:r w:rsidRPr="00CF4BEA">
          <w:rPr>
            <w:rStyle w:val="Hyperlink"/>
            <w:rFonts w:cs="Calibri Light"/>
            <w:szCs w:val="22"/>
          </w:rPr>
          <w:t>foreigninvestmentenquiries@treasury.gov.au</w:t>
        </w:r>
      </w:hyperlink>
      <w:r>
        <w:rPr>
          <w:rFonts w:cs="Calibri Light"/>
          <w:color w:val="000000"/>
          <w:szCs w:val="22"/>
        </w:rPr>
        <w:t xml:space="preserve">. </w:t>
      </w:r>
    </w:p>
    <w:p w14:paraId="76706EEC" w14:textId="15689E48" w:rsidR="00540724" w:rsidRPr="00AE7D86" w:rsidRDefault="00A62472" w:rsidP="00AE7D86">
      <w:pPr>
        <w:spacing w:before="0" w:after="220"/>
        <w:rPr>
          <w:rFonts w:cs="Calibri Light"/>
          <w:color w:val="000000"/>
          <w:szCs w:val="22"/>
        </w:rPr>
      </w:pPr>
      <w:r w:rsidRPr="00E7404E">
        <w:rPr>
          <w:rFonts w:cs="Calibri Light"/>
          <w:b/>
          <w:color w:val="000000"/>
          <w:szCs w:val="22"/>
        </w:rPr>
        <w:t>Important notice:</w:t>
      </w:r>
      <w:r w:rsidRPr="00E7404E">
        <w:rPr>
          <w:rFonts w:cs="Calibri Light"/>
          <w:color w:val="000000"/>
          <w:szCs w:val="22"/>
        </w:rPr>
        <w:t xml:space="preserve"> This Guidance Note provides a summary of the relevant law. As this Note tries to avoid legal language wherever possible it may include some generalisations about the law. Some provisions of the law referred to have exceptions or important qualifications, not all of which may be described here. The Commonwealth does not guarantee the accuracy, currency or completeness of any information contained in this document and will not accept responsibility for any loss caused by reliance on it. Your </w:t>
      </w:r>
      <w:proofErr w:type="gramStart"/>
      <w:r w:rsidRPr="00E7404E">
        <w:rPr>
          <w:rFonts w:cs="Calibri Light"/>
          <w:color w:val="000000"/>
          <w:szCs w:val="22"/>
        </w:rPr>
        <w:t>particular circumstances</w:t>
      </w:r>
      <w:proofErr w:type="gramEnd"/>
      <w:r w:rsidRPr="00E7404E">
        <w:rPr>
          <w:rFonts w:cs="Calibri Light"/>
          <w:color w:val="000000"/>
          <w:szCs w:val="22"/>
        </w:rPr>
        <w:t xml:space="preserve"> must be taken into account when determining how the law applies to you. This Guidance Note is therefore not a substitute for obtaining your own legal advice.</w:t>
      </w:r>
    </w:p>
    <w:sectPr w:rsidR="00540724" w:rsidRPr="00AE7D86" w:rsidSect="00EE2D23">
      <w:headerReference w:type="default" r:id="rId18"/>
      <w:footerReference w:type="default" r:id="rId19"/>
      <w:headerReference w:type="first" r:id="rId20"/>
      <w:footerReference w:type="first" r:id="rId21"/>
      <w:pgSz w:w="11906" w:h="16838" w:code="9"/>
      <w:pgMar w:top="1702" w:right="1701" w:bottom="1021" w:left="1701" w:header="249"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4F93E" w14:textId="77777777" w:rsidR="005A7C5D" w:rsidRDefault="005A7C5D" w:rsidP="00886BC4">
      <w:r>
        <w:separator/>
      </w:r>
    </w:p>
    <w:p w14:paraId="714A7000" w14:textId="77777777" w:rsidR="005A7C5D" w:rsidRDefault="005A7C5D"/>
  </w:endnote>
  <w:endnote w:type="continuationSeparator" w:id="0">
    <w:p w14:paraId="522F4C65" w14:textId="77777777" w:rsidR="005A7C5D" w:rsidRDefault="005A7C5D" w:rsidP="00886BC4">
      <w:r>
        <w:continuationSeparator/>
      </w:r>
    </w:p>
    <w:p w14:paraId="7B92B23A" w14:textId="77777777" w:rsidR="005A7C5D" w:rsidRDefault="005A7C5D"/>
  </w:endnote>
  <w:endnote w:type="continuationNotice" w:id="1">
    <w:p w14:paraId="4C5A983A" w14:textId="77777777" w:rsidR="005A7C5D" w:rsidRDefault="005A7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0A075" w14:textId="615BAA4C" w:rsidR="00BD7505" w:rsidRDefault="00BD7505" w:rsidP="00BD19C4">
    <w:pPr>
      <w:pStyle w:val="Footer"/>
      <w:tabs>
        <w:tab w:val="clear" w:pos="4320"/>
        <w:tab w:val="clear" w:pos="8640"/>
        <w:tab w:val="center" w:pos="7938"/>
      </w:tabs>
      <w:jc w:val="right"/>
    </w:pPr>
    <w:r w:rsidRPr="00AC3B66">
      <w:rPr>
        <w:noProof/>
        <w:position w:val="-10"/>
      </w:rPr>
      <w:drawing>
        <wp:inline distT="0" distB="0" distL="0" distR="0" wp14:anchorId="1AF6FE12" wp14:editId="107DC32C">
          <wp:extent cx="2178000" cy="201600"/>
          <wp:effectExtent l="0" t="0" r="0" b="8255"/>
          <wp:docPr id="204" name="Picture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tab/>
    </w:r>
    <w:r w:rsidR="00C076AC">
      <w:t>Version</w:t>
    </w:r>
    <w:r w:rsidR="00FA3D9C">
      <w:t xml:space="preserve"> </w:t>
    </w:r>
    <w:r w:rsidR="00062376">
      <w:t>7</w:t>
    </w:r>
    <w:r w:rsidR="00C076AC">
      <w:t xml:space="preserve"> (</w:t>
    </w:r>
    <w:r w:rsidR="001555FF">
      <w:t>1 July</w:t>
    </w:r>
    <w:r w:rsidR="002F7E03">
      <w:t xml:space="preserve"> 202</w:t>
    </w:r>
    <w:r w:rsidR="001555FF">
      <w:t>6</w:t>
    </w:r>
    <w:r w:rsidR="00C076AC">
      <w:t>)</w:t>
    </w:r>
    <w:r w:rsidR="000B7DBF">
      <w:t xml:space="preserve"> </w:t>
    </w:r>
    <w:r>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0BCD" w14:textId="007484F2" w:rsidR="00EB6E24" w:rsidRDefault="00EB6E24" w:rsidP="00BD19C4">
    <w:pPr>
      <w:pStyle w:val="Footer"/>
      <w:tabs>
        <w:tab w:val="clear" w:pos="4320"/>
        <w:tab w:val="clear" w:pos="8640"/>
        <w:tab w:val="center" w:pos="7938"/>
      </w:tabs>
      <w:jc w:val="right"/>
    </w:pPr>
    <w:r w:rsidRPr="00AC3B66">
      <w:rPr>
        <w:noProof/>
        <w:position w:val="-10"/>
      </w:rPr>
      <w:drawing>
        <wp:inline distT="0" distB="0" distL="0" distR="0" wp14:anchorId="27BD0FE9" wp14:editId="1B182DBF">
          <wp:extent cx="2178000" cy="201600"/>
          <wp:effectExtent l="0" t="0" r="0" b="825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8000" cy="201600"/>
                  </a:xfrm>
                  <a:prstGeom prst="rect">
                    <a:avLst/>
                  </a:prstGeom>
                </pic:spPr>
              </pic:pic>
            </a:graphicData>
          </a:graphic>
        </wp:inline>
      </w:drawing>
    </w:r>
    <w:r>
      <w:tab/>
    </w:r>
    <w:r w:rsidR="00C076AC">
      <w:t xml:space="preserve">Version </w:t>
    </w:r>
    <w:r w:rsidR="00062376">
      <w:t>7</w:t>
    </w:r>
    <w:r w:rsidR="00C076AC">
      <w:t xml:space="preserve"> (</w:t>
    </w:r>
    <w:r w:rsidR="001555FF">
      <w:t>1 July</w:t>
    </w:r>
    <w:r w:rsidR="00FA3D9C">
      <w:t xml:space="preserve"> </w:t>
    </w:r>
    <w:r w:rsidR="002F7E03">
      <w:t>202</w:t>
    </w:r>
    <w:r w:rsidR="001555FF">
      <w:t>6</w:t>
    </w:r>
    <w:r w:rsidR="00C076AC">
      <w:t>)</w:t>
    </w:r>
    <w:r>
      <w:t xml:space="preserve"> |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19D8D" w14:textId="77777777" w:rsidR="005A7C5D" w:rsidRDefault="005A7C5D">
      <w:r>
        <w:separator/>
      </w:r>
    </w:p>
  </w:footnote>
  <w:footnote w:type="continuationSeparator" w:id="0">
    <w:p w14:paraId="3D914704" w14:textId="77777777" w:rsidR="005A7C5D" w:rsidRDefault="005A7C5D" w:rsidP="00886BC4">
      <w:r>
        <w:continuationSeparator/>
      </w:r>
    </w:p>
    <w:p w14:paraId="095E329B" w14:textId="77777777" w:rsidR="005A7C5D" w:rsidRDefault="005A7C5D"/>
  </w:footnote>
  <w:footnote w:type="continuationNotice" w:id="1">
    <w:p w14:paraId="02DD4DD2" w14:textId="77777777" w:rsidR="005A7C5D" w:rsidRDefault="005A7C5D"/>
  </w:footnote>
  <w:footnote w:id="2">
    <w:p w14:paraId="15A5CAA1" w14:textId="0E095FEF" w:rsidR="00E50138" w:rsidRDefault="006F2102" w:rsidP="0001552C">
      <w:pPr>
        <w:pStyle w:val="FootnoteText"/>
      </w:pPr>
      <w:r w:rsidRPr="006F2102">
        <w:rPr>
          <w:rStyle w:val="FootnoteReference"/>
          <w:vertAlign w:val="baseline"/>
        </w:rPr>
        <w:footnoteRef/>
      </w:r>
      <w:r w:rsidR="00E50138">
        <w:t xml:space="preserve"> </w:t>
      </w:r>
      <w:r w:rsidR="0001552C">
        <w:tab/>
      </w:r>
      <w:r w:rsidR="00533417">
        <w:t xml:space="preserve">See section </w:t>
      </w:r>
      <w:r w:rsidR="008C3F62">
        <w:t>G</w:t>
      </w:r>
      <w:r w:rsidR="00533417">
        <w:t xml:space="preserve"> of this Guidance Note.</w:t>
      </w:r>
    </w:p>
  </w:footnote>
  <w:footnote w:id="3">
    <w:p w14:paraId="492EDA57" w14:textId="150D1AF9" w:rsidR="006A3D3B" w:rsidRDefault="006F2102" w:rsidP="0001552C">
      <w:pPr>
        <w:pStyle w:val="FootnoteText"/>
      </w:pPr>
      <w:r w:rsidRPr="006F2102">
        <w:rPr>
          <w:rStyle w:val="FootnoteReference"/>
          <w:vertAlign w:val="baseline"/>
        </w:rPr>
        <w:footnoteRef/>
      </w:r>
      <w:r w:rsidR="006A3D3B">
        <w:t xml:space="preserve"> </w:t>
      </w:r>
      <w:r w:rsidR="0001552C">
        <w:tab/>
      </w:r>
      <w:r w:rsidR="00EA5100">
        <w:t xml:space="preserve">Note that the meaning of </w:t>
      </w:r>
      <w:r w:rsidR="003F2C1D">
        <w:t>‘</w:t>
      </w:r>
      <w:r w:rsidR="00EA5100">
        <w:t>acquires an interest</w:t>
      </w:r>
      <w:r w:rsidR="003F2C1D">
        <w:t>’</w:t>
      </w:r>
      <w:r w:rsidR="00EA5100">
        <w:t xml:space="preserve"> is affected by section 130X of the Act. </w:t>
      </w:r>
    </w:p>
  </w:footnote>
  <w:footnote w:id="4">
    <w:p w14:paraId="771F3AAD" w14:textId="785E2AF3" w:rsidR="007B67B0" w:rsidRPr="00DD74FD" w:rsidRDefault="006F2102" w:rsidP="0001552C">
      <w:pPr>
        <w:pStyle w:val="FootnoteText"/>
      </w:pPr>
      <w:r w:rsidRPr="006F2102">
        <w:rPr>
          <w:rStyle w:val="FootnoteReference"/>
          <w:rFonts w:cstheme="minorHAnsi"/>
          <w:vertAlign w:val="baseline"/>
        </w:rPr>
        <w:footnoteRef/>
      </w:r>
      <w:r w:rsidR="007B67B0" w:rsidRPr="00DD74FD">
        <w:t xml:space="preserve"> </w:t>
      </w:r>
      <w:r w:rsidR="0001552C">
        <w:tab/>
      </w:r>
      <w:r w:rsidR="007B67B0" w:rsidRPr="00DD74FD">
        <w:t xml:space="preserve">See section 130ZA of the Act and section 58J of the </w:t>
      </w:r>
      <w:r w:rsidR="001F3CF0">
        <w:rPr>
          <w:i/>
          <w:iCs/>
        </w:rPr>
        <w:t xml:space="preserve">Foreign Acquisitions and Takeovers </w:t>
      </w:r>
      <w:r w:rsidR="007B67B0" w:rsidRPr="002C4C4B">
        <w:rPr>
          <w:i/>
          <w:iCs/>
        </w:rPr>
        <w:t>Regulation</w:t>
      </w:r>
      <w:r w:rsidR="001F3CF0">
        <w:rPr>
          <w:i/>
          <w:iCs/>
        </w:rPr>
        <w:t xml:space="preserve"> 2015</w:t>
      </w:r>
      <w:r w:rsidR="001F3CF0">
        <w:t xml:space="preserve"> (the </w:t>
      </w:r>
      <w:r w:rsidR="001F3CF0" w:rsidRPr="002C4C4B">
        <w:rPr>
          <w:b/>
          <w:bCs/>
        </w:rPr>
        <w:t>Regulation</w:t>
      </w:r>
      <w:r w:rsidR="001F3CF0">
        <w:t>)</w:t>
      </w:r>
      <w:r w:rsidR="007B67B0" w:rsidRPr="00DD74FD">
        <w:t xml:space="preserve">. </w:t>
      </w:r>
    </w:p>
  </w:footnote>
  <w:footnote w:id="5">
    <w:p w14:paraId="041B081F" w14:textId="12F0BD86" w:rsidR="007B67B0" w:rsidRPr="00DD74FD" w:rsidRDefault="006F2102" w:rsidP="0001552C">
      <w:pPr>
        <w:pStyle w:val="FootnoteText"/>
      </w:pPr>
      <w:r w:rsidRPr="006F2102">
        <w:rPr>
          <w:rStyle w:val="FootnoteReference"/>
          <w:rFonts w:cstheme="minorHAnsi"/>
          <w:vertAlign w:val="baseline"/>
        </w:rPr>
        <w:footnoteRef/>
      </w:r>
      <w:r w:rsidR="007B67B0" w:rsidRPr="00DD74FD">
        <w:t xml:space="preserve"> </w:t>
      </w:r>
      <w:r w:rsidR="0001552C">
        <w:tab/>
      </w:r>
      <w:r w:rsidR="007B67B0" w:rsidRPr="00DD74FD">
        <w:t>See section 130ZB of the Act.</w:t>
      </w:r>
      <w:r w:rsidR="007B67B0">
        <w:t xml:space="preserve"> See also section 27B of the Regulation, which exempts from the operation of the Act </w:t>
      </w:r>
      <w:r w:rsidR="00D3674E">
        <w:t xml:space="preserve">interests in </w:t>
      </w:r>
      <w:r w:rsidR="007B67B0">
        <w:t xml:space="preserve">exploration tenements in respect of Australian land that is not national security land which are held or acquired by foreign persons who are not foreign government investors. </w:t>
      </w:r>
    </w:p>
  </w:footnote>
  <w:footnote w:id="6">
    <w:p w14:paraId="1C1337C0" w14:textId="4FA2A1FD" w:rsidR="007B67B0" w:rsidRPr="00DD74FD" w:rsidRDefault="006F2102" w:rsidP="0001552C">
      <w:pPr>
        <w:pStyle w:val="FootnoteText"/>
      </w:pPr>
      <w:r w:rsidRPr="006F2102">
        <w:rPr>
          <w:rStyle w:val="FootnoteReference"/>
          <w:rFonts w:cstheme="minorHAnsi"/>
          <w:vertAlign w:val="baseline"/>
        </w:rPr>
        <w:footnoteRef/>
      </w:r>
      <w:r w:rsidR="007B67B0" w:rsidRPr="00DD74FD">
        <w:t xml:space="preserve"> </w:t>
      </w:r>
      <w:r w:rsidR="0001552C">
        <w:tab/>
      </w:r>
      <w:r w:rsidR="007B67B0" w:rsidRPr="00DD74FD">
        <w:t xml:space="preserve">See section 130ZE of the Act. </w:t>
      </w:r>
    </w:p>
  </w:footnote>
  <w:footnote w:id="7">
    <w:p w14:paraId="284E73DA" w14:textId="2D2D4E8A" w:rsidR="007B67B0" w:rsidRPr="00DD74FD" w:rsidRDefault="006F2102" w:rsidP="0001552C">
      <w:pPr>
        <w:pStyle w:val="FootnoteText"/>
      </w:pPr>
      <w:r w:rsidRPr="006F2102">
        <w:rPr>
          <w:rStyle w:val="FootnoteReference"/>
          <w:rFonts w:cstheme="minorHAnsi"/>
          <w:vertAlign w:val="baseline"/>
        </w:rPr>
        <w:footnoteRef/>
      </w:r>
      <w:r w:rsidR="007B67B0" w:rsidRPr="00DD74FD">
        <w:t xml:space="preserve"> </w:t>
      </w:r>
      <w:r w:rsidR="0001552C">
        <w:tab/>
      </w:r>
      <w:r w:rsidR="007B67B0" w:rsidRPr="00DD74FD">
        <w:t xml:space="preserve">See sections 40, 41, 130ZH, and 130ZI of the Act. </w:t>
      </w:r>
    </w:p>
  </w:footnote>
  <w:footnote w:id="8">
    <w:p w14:paraId="64BF4763" w14:textId="3E2ABFA0" w:rsidR="007B67B0" w:rsidRPr="00DD74FD" w:rsidRDefault="006F2102" w:rsidP="0001552C">
      <w:pPr>
        <w:pStyle w:val="FootnoteText"/>
      </w:pPr>
      <w:r w:rsidRPr="006F2102">
        <w:rPr>
          <w:rStyle w:val="FootnoteReference"/>
          <w:rFonts w:cstheme="minorHAnsi"/>
          <w:vertAlign w:val="baseline"/>
        </w:rPr>
        <w:footnoteRef/>
      </w:r>
      <w:r w:rsidR="007B67B0" w:rsidRPr="00DD74FD">
        <w:t xml:space="preserve"> </w:t>
      </w:r>
      <w:r w:rsidR="0001552C">
        <w:tab/>
      </w:r>
      <w:r w:rsidR="007B67B0" w:rsidRPr="00DD74FD">
        <w:t>See section</w:t>
      </w:r>
      <w:r w:rsidR="001714E9">
        <w:t>s 47 and</w:t>
      </w:r>
      <w:r w:rsidR="007B67B0" w:rsidRPr="00DD74FD">
        <w:t xml:space="preserve"> 130ZJ of the Act. </w:t>
      </w:r>
    </w:p>
  </w:footnote>
  <w:footnote w:id="9">
    <w:p w14:paraId="19228EF6" w14:textId="09063F82" w:rsidR="007B67B0" w:rsidRPr="00DD74FD" w:rsidRDefault="006F2102" w:rsidP="0001552C">
      <w:pPr>
        <w:pStyle w:val="FootnoteText"/>
      </w:pPr>
      <w:r w:rsidRPr="006F2102">
        <w:rPr>
          <w:rStyle w:val="FootnoteReference"/>
          <w:rFonts w:cstheme="minorHAnsi"/>
          <w:vertAlign w:val="baseline"/>
        </w:rPr>
        <w:footnoteRef/>
      </w:r>
      <w:r w:rsidR="007B67B0" w:rsidRPr="00DD74FD">
        <w:t xml:space="preserve"> </w:t>
      </w:r>
      <w:r w:rsidR="0001552C">
        <w:tab/>
      </w:r>
      <w:r w:rsidR="007B67B0" w:rsidRPr="00DD74FD">
        <w:t xml:space="preserve">See sections 58C and 58D of the Regulation. </w:t>
      </w:r>
    </w:p>
  </w:footnote>
  <w:footnote w:id="10">
    <w:p w14:paraId="5DD33FB8" w14:textId="4FBF24A9" w:rsidR="007B67B0" w:rsidRPr="00DD74FD" w:rsidRDefault="006F2102" w:rsidP="0001552C">
      <w:pPr>
        <w:pStyle w:val="FootnoteText"/>
      </w:pPr>
      <w:r w:rsidRPr="006F2102">
        <w:rPr>
          <w:rStyle w:val="FootnoteReference"/>
          <w:rFonts w:cstheme="minorHAnsi"/>
          <w:vertAlign w:val="baseline"/>
        </w:rPr>
        <w:footnoteRef/>
      </w:r>
      <w:r w:rsidR="007B67B0" w:rsidRPr="00DD74FD">
        <w:t xml:space="preserve"> </w:t>
      </w:r>
      <w:r w:rsidR="0001552C">
        <w:tab/>
      </w:r>
      <w:r w:rsidR="007B67B0" w:rsidRPr="00DD74FD">
        <w:t>See section</w:t>
      </w:r>
      <w:r w:rsidR="0058529A">
        <w:t>s 55B and</w:t>
      </w:r>
      <w:r w:rsidR="007B67B0" w:rsidRPr="00DD74FD">
        <w:t xml:space="preserve"> 130ZK of the Act.</w:t>
      </w:r>
    </w:p>
  </w:footnote>
  <w:footnote w:id="11">
    <w:p w14:paraId="0C405335" w14:textId="72EE3757" w:rsidR="007B67B0" w:rsidRPr="00DD74FD" w:rsidRDefault="006F2102" w:rsidP="0001552C">
      <w:pPr>
        <w:pStyle w:val="FootnoteText"/>
      </w:pPr>
      <w:r w:rsidRPr="006F2102">
        <w:rPr>
          <w:rStyle w:val="FootnoteReference"/>
          <w:rFonts w:cstheme="minorHAnsi"/>
          <w:vertAlign w:val="baseline"/>
        </w:rPr>
        <w:footnoteRef/>
      </w:r>
      <w:r w:rsidR="007B67B0" w:rsidRPr="00DD74FD">
        <w:t xml:space="preserve"> </w:t>
      </w:r>
      <w:r w:rsidR="0001552C">
        <w:tab/>
      </w:r>
      <w:r w:rsidR="007B67B0" w:rsidRPr="00DD74FD">
        <w:t xml:space="preserve">See section 58E of the Regulation. </w:t>
      </w:r>
    </w:p>
  </w:footnote>
  <w:footnote w:id="12">
    <w:p w14:paraId="1AC4D82C" w14:textId="37CDFD8A" w:rsidR="007B67B0" w:rsidRPr="00DD74FD" w:rsidRDefault="006F2102" w:rsidP="0001552C">
      <w:pPr>
        <w:pStyle w:val="FootnoteText"/>
      </w:pPr>
      <w:r w:rsidRPr="006F2102">
        <w:rPr>
          <w:rStyle w:val="FootnoteReference"/>
          <w:rFonts w:cstheme="minorHAnsi"/>
          <w:vertAlign w:val="baseline"/>
        </w:rPr>
        <w:footnoteRef/>
      </w:r>
      <w:r w:rsidR="007B67B0" w:rsidRPr="00DD74FD">
        <w:t xml:space="preserve"> </w:t>
      </w:r>
      <w:r w:rsidR="0001552C">
        <w:tab/>
      </w:r>
      <w:r w:rsidR="007B67B0" w:rsidRPr="00DD74FD">
        <w:t>See sections 55D, 55E, 130ZL and 130ZM of the Act.</w:t>
      </w:r>
    </w:p>
  </w:footnote>
  <w:footnote w:id="13">
    <w:p w14:paraId="0CA5C124" w14:textId="48257B6A" w:rsidR="007B67B0" w:rsidRPr="00DD74FD" w:rsidRDefault="006F2102" w:rsidP="0001552C">
      <w:pPr>
        <w:pStyle w:val="FootnoteText"/>
      </w:pPr>
      <w:r w:rsidRPr="006F2102">
        <w:rPr>
          <w:rStyle w:val="FootnoteReference"/>
          <w:rFonts w:cstheme="minorHAnsi"/>
          <w:vertAlign w:val="baseline"/>
        </w:rPr>
        <w:footnoteRef/>
      </w:r>
      <w:r w:rsidR="007B67B0" w:rsidRPr="00DD74FD">
        <w:t xml:space="preserve"> </w:t>
      </w:r>
      <w:r w:rsidR="0001552C">
        <w:tab/>
      </w:r>
      <w:r w:rsidR="007B67B0" w:rsidRPr="00DD74FD">
        <w:t xml:space="preserve">See </w:t>
      </w:r>
      <w:r w:rsidR="007B67B0" w:rsidRPr="0001552C">
        <w:t>sections</w:t>
      </w:r>
      <w:r w:rsidR="007B67B0" w:rsidRPr="00DD74FD">
        <w:t xml:space="preserve"> 58F and 58G of the Regulation. </w:t>
      </w:r>
    </w:p>
  </w:footnote>
  <w:footnote w:id="14">
    <w:p w14:paraId="0AC41F10" w14:textId="60FC60DB" w:rsidR="00810C9A" w:rsidRDefault="006F2102" w:rsidP="0001552C">
      <w:pPr>
        <w:pStyle w:val="FootnoteText"/>
      </w:pPr>
      <w:r w:rsidRPr="006F2102">
        <w:rPr>
          <w:rStyle w:val="FootnoteReference"/>
          <w:vertAlign w:val="baseline"/>
        </w:rPr>
        <w:footnoteRef/>
      </w:r>
      <w:r w:rsidR="00810C9A">
        <w:t xml:space="preserve"> </w:t>
      </w:r>
      <w:r w:rsidR="0001552C">
        <w:tab/>
      </w:r>
      <w:r w:rsidR="0038249E">
        <w:t xml:space="preserve">See section </w:t>
      </w:r>
      <w:r w:rsidR="00A612EB">
        <w:t>55</w:t>
      </w:r>
      <w:r w:rsidR="0038249E">
        <w:t xml:space="preserve"> of the Regulation.</w:t>
      </w:r>
    </w:p>
  </w:footnote>
  <w:footnote w:id="15">
    <w:p w14:paraId="18AF42BE" w14:textId="4D1C991C" w:rsidR="002C7791" w:rsidRPr="00DD74FD" w:rsidRDefault="006F2102" w:rsidP="0001552C">
      <w:pPr>
        <w:pStyle w:val="FootnoteText"/>
      </w:pPr>
      <w:r w:rsidRPr="006F2102">
        <w:rPr>
          <w:rStyle w:val="FootnoteReference"/>
          <w:rFonts w:cstheme="minorHAnsi"/>
          <w:vertAlign w:val="baseline"/>
        </w:rPr>
        <w:footnoteRef/>
      </w:r>
      <w:r w:rsidR="002C7791" w:rsidRPr="00DD74FD">
        <w:t xml:space="preserve"> </w:t>
      </w:r>
      <w:r w:rsidR="0001552C">
        <w:tab/>
      </w:r>
      <w:r w:rsidR="002C7791" w:rsidRPr="00DD74FD">
        <w:t xml:space="preserve">See </w:t>
      </w:r>
      <w:r w:rsidR="00406D44">
        <w:t>sub</w:t>
      </w:r>
      <w:r w:rsidR="002C7791" w:rsidRPr="00DD74FD">
        <w:t xml:space="preserve">section </w:t>
      </w:r>
      <w:r w:rsidR="002C7791">
        <w:t>56(1)(b)</w:t>
      </w:r>
      <w:r w:rsidR="002C7791" w:rsidRPr="00DD74FD">
        <w:t xml:space="preserve"> of the Regulation.</w:t>
      </w:r>
    </w:p>
  </w:footnote>
  <w:footnote w:id="16">
    <w:p w14:paraId="16A032CA" w14:textId="5D2AA20F" w:rsidR="002C7791" w:rsidRPr="00DD74FD" w:rsidRDefault="006F2102" w:rsidP="0001552C">
      <w:pPr>
        <w:pStyle w:val="FootnoteText"/>
      </w:pPr>
      <w:r w:rsidRPr="006F2102">
        <w:rPr>
          <w:rStyle w:val="FootnoteReference"/>
          <w:rFonts w:cstheme="minorHAnsi"/>
          <w:vertAlign w:val="baseline"/>
        </w:rPr>
        <w:footnoteRef/>
      </w:r>
      <w:r w:rsidR="002C7791" w:rsidRPr="00DD74FD">
        <w:t xml:space="preserve"> </w:t>
      </w:r>
      <w:r w:rsidR="0001552C">
        <w:tab/>
      </w:r>
      <w:r w:rsidR="002C7791" w:rsidRPr="00DD74FD">
        <w:t xml:space="preserve">See </w:t>
      </w:r>
      <w:r w:rsidR="002C27FC">
        <w:t>sub</w:t>
      </w:r>
      <w:r w:rsidR="002C7791" w:rsidRPr="00DD74FD">
        <w:t>section</w:t>
      </w:r>
      <w:r w:rsidR="002C7791">
        <w:t xml:space="preserve"> 56(1)(a) </w:t>
      </w:r>
      <w:r w:rsidR="002C7791" w:rsidRPr="00DD74FD">
        <w:t>of the Regulation.</w:t>
      </w:r>
    </w:p>
  </w:footnote>
  <w:footnote w:id="17">
    <w:p w14:paraId="1AC938F7" w14:textId="4797FFF3" w:rsidR="002C7791" w:rsidRPr="00DD74FD" w:rsidRDefault="006F2102" w:rsidP="0001552C">
      <w:pPr>
        <w:pStyle w:val="FootnoteText"/>
      </w:pPr>
      <w:r w:rsidRPr="006F2102">
        <w:rPr>
          <w:rStyle w:val="FootnoteReference"/>
          <w:rFonts w:cstheme="minorHAnsi"/>
          <w:vertAlign w:val="baseline"/>
        </w:rPr>
        <w:footnoteRef/>
      </w:r>
      <w:r w:rsidR="002C7791" w:rsidRPr="00DD74FD">
        <w:t xml:space="preserve"> </w:t>
      </w:r>
      <w:r w:rsidR="0001552C">
        <w:tab/>
      </w:r>
      <w:r w:rsidR="002C7791" w:rsidRPr="00DD74FD">
        <w:t xml:space="preserve">See </w:t>
      </w:r>
      <w:r w:rsidR="001F481C">
        <w:t>sub</w:t>
      </w:r>
      <w:r w:rsidR="002C7791" w:rsidRPr="00DD74FD">
        <w:t xml:space="preserve">section </w:t>
      </w:r>
      <w:r w:rsidR="002C7791">
        <w:t>56(1)(c)</w:t>
      </w:r>
      <w:r w:rsidR="002C7791" w:rsidRPr="00DD74FD">
        <w:t xml:space="preserve"> of the Regulation. </w:t>
      </w:r>
    </w:p>
  </w:footnote>
  <w:footnote w:id="18">
    <w:p w14:paraId="4DEF3B8C" w14:textId="2D42F9B3" w:rsidR="007B67B0" w:rsidRPr="00DD74FD" w:rsidRDefault="006F2102" w:rsidP="0001552C">
      <w:pPr>
        <w:pStyle w:val="FootnoteText"/>
      </w:pPr>
      <w:r w:rsidRPr="006F2102">
        <w:rPr>
          <w:rStyle w:val="FootnoteReference"/>
          <w:rFonts w:cstheme="minorHAnsi"/>
          <w:vertAlign w:val="baseline"/>
        </w:rPr>
        <w:footnoteRef/>
      </w:r>
      <w:r w:rsidR="007B67B0" w:rsidRPr="00DD74FD">
        <w:t xml:space="preserve"> </w:t>
      </w:r>
      <w:r w:rsidR="0001552C">
        <w:tab/>
      </w:r>
      <w:r w:rsidR="007B67B0" w:rsidRPr="00DD74FD">
        <w:t xml:space="preserve">See section 14 of the Act. </w:t>
      </w:r>
    </w:p>
  </w:footnote>
  <w:footnote w:id="19">
    <w:p w14:paraId="1C7ACE7B" w14:textId="7D721B7E" w:rsidR="00912342" w:rsidRPr="00DD74FD" w:rsidRDefault="006F2102" w:rsidP="0001552C">
      <w:pPr>
        <w:pStyle w:val="FootnoteText"/>
      </w:pPr>
      <w:r w:rsidRPr="006F2102">
        <w:rPr>
          <w:rStyle w:val="FootnoteReference"/>
          <w:rFonts w:cstheme="minorHAnsi"/>
          <w:vertAlign w:val="baseline"/>
        </w:rPr>
        <w:footnoteRef/>
      </w:r>
      <w:r w:rsidR="00912342" w:rsidRPr="00DD74FD">
        <w:t xml:space="preserve"> </w:t>
      </w:r>
      <w:r w:rsidR="0001552C">
        <w:tab/>
      </w:r>
      <w:r w:rsidR="00912342" w:rsidRPr="00DD74FD">
        <w:t>See section 130ZC of the Act and section</w:t>
      </w:r>
      <w:r w:rsidR="002C3B0F">
        <w:t>s</w:t>
      </w:r>
      <w:r w:rsidR="00912342" w:rsidRPr="00DD74FD">
        <w:t xml:space="preserve"> 58J</w:t>
      </w:r>
      <w:r w:rsidR="002C3B0F">
        <w:t xml:space="preserve"> and 58K</w:t>
      </w:r>
      <w:r w:rsidR="00912342" w:rsidRPr="00DD74FD">
        <w:t xml:space="preserve"> of the Regulation.</w:t>
      </w:r>
    </w:p>
  </w:footnote>
  <w:footnote w:id="20">
    <w:p w14:paraId="2E5002CD" w14:textId="1A3D3ADC" w:rsidR="00912342" w:rsidRPr="00CF2B2E" w:rsidRDefault="006F2102" w:rsidP="0001552C">
      <w:pPr>
        <w:pStyle w:val="FootnoteText"/>
        <w:rPr>
          <w:b/>
          <w:bCs/>
        </w:rPr>
      </w:pPr>
      <w:r w:rsidRPr="006F2102">
        <w:rPr>
          <w:rStyle w:val="FootnoteReference"/>
          <w:rFonts w:cstheme="minorHAnsi"/>
          <w:vertAlign w:val="baseline"/>
        </w:rPr>
        <w:footnoteRef/>
      </w:r>
      <w:r w:rsidR="00912342" w:rsidRPr="00DD74FD">
        <w:t xml:space="preserve"> </w:t>
      </w:r>
      <w:r w:rsidR="00BD19C4">
        <w:tab/>
      </w:r>
      <w:r w:rsidR="00912342" w:rsidRPr="00DD74FD">
        <w:t>See section 130ZC of the Act</w:t>
      </w:r>
      <w:r w:rsidR="007544D5">
        <w:t xml:space="preserve"> and section 58K of the Regulation</w:t>
      </w:r>
      <w:r w:rsidR="00912342" w:rsidRPr="00DD74FD">
        <w:t xml:space="preserve">. </w:t>
      </w:r>
      <w:r w:rsidR="00912342">
        <w:t xml:space="preserve">See also section 27B of the Regulation, which exempts from the operation of the Act </w:t>
      </w:r>
      <w:r w:rsidR="00771B2D">
        <w:t>interests in</w:t>
      </w:r>
      <w:r w:rsidR="00C96347">
        <w:t xml:space="preserve"> </w:t>
      </w:r>
      <w:r w:rsidR="00912342">
        <w:t>exploration tenements in respect of Australian land that is not national security land which are held or acquired by foreign persons who are not foreign government investors.</w:t>
      </w:r>
    </w:p>
  </w:footnote>
  <w:footnote w:id="21">
    <w:p w14:paraId="4E883C34" w14:textId="3A07D7A0" w:rsidR="00912342" w:rsidRPr="00DD74FD" w:rsidRDefault="006F2102" w:rsidP="0001552C">
      <w:pPr>
        <w:pStyle w:val="FootnoteText"/>
      </w:pPr>
      <w:r w:rsidRPr="006F2102">
        <w:rPr>
          <w:rStyle w:val="FootnoteReference"/>
          <w:rFonts w:cstheme="minorHAnsi"/>
          <w:vertAlign w:val="baseline"/>
        </w:rPr>
        <w:footnoteRef/>
      </w:r>
      <w:r w:rsidR="00912342" w:rsidRPr="00DD74FD">
        <w:t xml:space="preserve"> </w:t>
      </w:r>
      <w:r w:rsidR="00BD19C4">
        <w:tab/>
      </w:r>
      <w:r w:rsidR="00912342" w:rsidRPr="00DD74FD">
        <w:t>See section 130ZF of the Act.</w:t>
      </w:r>
    </w:p>
  </w:footnote>
  <w:footnote w:id="22">
    <w:p w14:paraId="5B7A668A" w14:textId="59E7D676" w:rsidR="00912342" w:rsidRPr="00DD74FD" w:rsidRDefault="006F2102" w:rsidP="0001552C">
      <w:pPr>
        <w:pStyle w:val="FootnoteText"/>
      </w:pPr>
      <w:r w:rsidRPr="006F2102">
        <w:rPr>
          <w:rStyle w:val="FootnoteReference"/>
          <w:rFonts w:cstheme="minorHAnsi"/>
          <w:vertAlign w:val="baseline"/>
        </w:rPr>
        <w:footnoteRef/>
      </w:r>
      <w:r w:rsidR="00912342" w:rsidRPr="00DD74FD">
        <w:t xml:space="preserve"> </w:t>
      </w:r>
      <w:r w:rsidR="00BD19C4">
        <w:tab/>
      </w:r>
      <w:r w:rsidR="00912342" w:rsidRPr="00DD74FD">
        <w:t xml:space="preserve">See section 130ZO of the Act. </w:t>
      </w:r>
    </w:p>
  </w:footnote>
  <w:footnote w:id="23">
    <w:p w14:paraId="01BC9933" w14:textId="2E1B55B1" w:rsidR="00912342" w:rsidRPr="00DD74FD" w:rsidRDefault="006F2102" w:rsidP="0001552C">
      <w:pPr>
        <w:pStyle w:val="FootnoteText"/>
      </w:pPr>
      <w:r w:rsidRPr="006F2102">
        <w:rPr>
          <w:rStyle w:val="FootnoteReference"/>
          <w:rFonts w:cstheme="minorHAnsi"/>
          <w:vertAlign w:val="baseline"/>
        </w:rPr>
        <w:footnoteRef/>
      </w:r>
      <w:r w:rsidR="00912342" w:rsidRPr="00DD74FD">
        <w:t xml:space="preserve"> </w:t>
      </w:r>
      <w:r w:rsidR="00BD19C4">
        <w:tab/>
      </w:r>
      <w:r w:rsidR="00912342" w:rsidRPr="00DD74FD">
        <w:t xml:space="preserve">See section 130ZP of the Act. </w:t>
      </w:r>
    </w:p>
  </w:footnote>
  <w:footnote w:id="24">
    <w:p w14:paraId="2C3B0852" w14:textId="69B3458F" w:rsidR="00247DE0" w:rsidRPr="00DD74FD" w:rsidRDefault="006F2102" w:rsidP="0001552C">
      <w:pPr>
        <w:pStyle w:val="FootnoteText"/>
      </w:pPr>
      <w:r w:rsidRPr="006F2102">
        <w:rPr>
          <w:rStyle w:val="FootnoteReference"/>
          <w:rFonts w:cstheme="minorHAnsi"/>
          <w:vertAlign w:val="baseline"/>
        </w:rPr>
        <w:footnoteRef/>
      </w:r>
      <w:r w:rsidR="00247DE0" w:rsidRPr="00DD74FD">
        <w:t xml:space="preserve"> </w:t>
      </w:r>
      <w:r w:rsidR="00BD19C4">
        <w:tab/>
      </w:r>
      <w:r w:rsidR="00247DE0" w:rsidRPr="00DD74FD">
        <w:t xml:space="preserve">See </w:t>
      </w:r>
      <w:r w:rsidR="000E1123">
        <w:t>sub</w:t>
      </w:r>
      <w:r w:rsidR="00247DE0" w:rsidRPr="00DD74FD">
        <w:t>sections 130ZA(2), 130ZB(2), 130ZC(2), 130ZE(2), 130ZF(2), 130ZH(2), 130ZI(2),</w:t>
      </w:r>
      <w:r w:rsidR="00A05E5E">
        <w:t xml:space="preserve"> 130ZO(3),</w:t>
      </w:r>
      <w:r w:rsidR="00247DE0" w:rsidRPr="00DD74FD">
        <w:t xml:space="preserve"> 130ZJ(2), 130ZK(2), 130ZL(2), 130ZM(2)</w:t>
      </w:r>
      <w:r w:rsidR="00B11999">
        <w:t>, and 130ZP(4)</w:t>
      </w:r>
      <w:r w:rsidR="00247DE0" w:rsidRPr="00DD74FD">
        <w:t xml:space="preserve"> of the Act</w:t>
      </w:r>
      <w:r w:rsidR="00D13CBE">
        <w:t xml:space="preserve"> and </w:t>
      </w:r>
      <w:r w:rsidR="00781523">
        <w:t>sub</w:t>
      </w:r>
      <w:r w:rsidR="00727A2A">
        <w:t xml:space="preserve">sections 58B(2), </w:t>
      </w:r>
      <w:r w:rsidR="00180143">
        <w:t xml:space="preserve">58C(2), 58D(2), 58E(2), 58F(2), and 58G(2) of the Regulation. </w:t>
      </w:r>
    </w:p>
  </w:footnote>
  <w:footnote w:id="25">
    <w:p w14:paraId="6FBB0F86" w14:textId="14D41D45" w:rsidR="00247DE0" w:rsidRPr="00DD74FD" w:rsidRDefault="006F2102" w:rsidP="0001552C">
      <w:pPr>
        <w:pStyle w:val="FootnoteText"/>
      </w:pPr>
      <w:r w:rsidRPr="006F2102">
        <w:rPr>
          <w:rStyle w:val="FootnoteReference"/>
          <w:rFonts w:cstheme="minorHAnsi"/>
          <w:vertAlign w:val="baseline"/>
        </w:rPr>
        <w:footnoteRef/>
      </w:r>
      <w:r w:rsidR="00247DE0" w:rsidRPr="00DD74FD">
        <w:t xml:space="preserve"> </w:t>
      </w:r>
      <w:r w:rsidR="00BD19C4">
        <w:tab/>
      </w:r>
      <w:r w:rsidR="00247DE0" w:rsidRPr="00DD74FD">
        <w:t>See section 130ZQ of the Act.</w:t>
      </w:r>
    </w:p>
  </w:footnote>
  <w:footnote w:id="26">
    <w:p w14:paraId="764F6A6F" w14:textId="28739BDC" w:rsidR="00247DE0" w:rsidRPr="00DD74FD" w:rsidRDefault="006F2102" w:rsidP="0001552C">
      <w:pPr>
        <w:pStyle w:val="FootnoteText"/>
      </w:pPr>
      <w:r w:rsidRPr="006F2102">
        <w:rPr>
          <w:rStyle w:val="FootnoteReference"/>
          <w:rFonts w:cstheme="minorHAnsi"/>
          <w:vertAlign w:val="baseline"/>
        </w:rPr>
        <w:footnoteRef/>
      </w:r>
      <w:r w:rsidR="00247DE0" w:rsidRPr="00DD74FD">
        <w:t xml:space="preserve"> </w:t>
      </w:r>
      <w:r w:rsidR="00BD19C4">
        <w:tab/>
      </w:r>
      <w:r w:rsidR="00247DE0" w:rsidRPr="00DD74FD">
        <w:t xml:space="preserve">See section 130ZR of the Act. </w:t>
      </w:r>
    </w:p>
  </w:footnote>
  <w:footnote w:id="27">
    <w:p w14:paraId="5FB30DBF" w14:textId="762F1ECF" w:rsidR="00247DE0" w:rsidRPr="00DD74FD" w:rsidRDefault="006F2102" w:rsidP="0001552C">
      <w:pPr>
        <w:pStyle w:val="FootnoteText"/>
      </w:pPr>
      <w:r w:rsidRPr="006F2102">
        <w:rPr>
          <w:rStyle w:val="FootnoteReference"/>
          <w:rFonts w:cstheme="minorHAnsi"/>
          <w:vertAlign w:val="baseline"/>
        </w:rPr>
        <w:footnoteRef/>
      </w:r>
      <w:r w:rsidR="00247DE0" w:rsidRPr="00DD74FD">
        <w:t xml:space="preserve"> </w:t>
      </w:r>
      <w:r w:rsidR="00BD19C4">
        <w:tab/>
      </w:r>
      <w:r w:rsidR="00247DE0" w:rsidRPr="00DD74FD">
        <w:t xml:space="preserve">See </w:t>
      </w:r>
      <w:r w:rsidR="00521C81">
        <w:t>sub</w:t>
      </w:r>
      <w:r w:rsidR="00247DE0" w:rsidRPr="00DD74FD">
        <w:t>sections 130ZA(3), 130ZB(3), 130ZC(3), 130ZD(3), 130ZE(3), 130ZF(3), 130ZH(2), 130ZI(2), 130ZJ(2), 130ZK(2), 130ZL(2), 130ZM(2)</w:t>
      </w:r>
      <w:r w:rsidR="00E46DC8">
        <w:t>, 130ZO(3), and 130ZP(4)</w:t>
      </w:r>
      <w:r w:rsidR="00247DE0" w:rsidRPr="00DD74FD">
        <w:t xml:space="preserve"> of the Act</w:t>
      </w:r>
      <w:r w:rsidR="00401A49">
        <w:t xml:space="preserve"> and subsections </w:t>
      </w:r>
      <w:r w:rsidR="00CF70FA">
        <w:t xml:space="preserve">58B(2), </w:t>
      </w:r>
      <w:r w:rsidR="00636221">
        <w:t>58C(2), 58D(2), 58E(2), 58F(2), and 58G(2) of the Regulation</w:t>
      </w:r>
      <w:r w:rsidR="00EF4D28">
        <w:t>.</w:t>
      </w:r>
    </w:p>
  </w:footnote>
  <w:footnote w:id="28">
    <w:p w14:paraId="405244B0" w14:textId="08BDEDE1" w:rsidR="004158E5" w:rsidRPr="00DD74FD" w:rsidRDefault="006F2102" w:rsidP="0001552C">
      <w:pPr>
        <w:pStyle w:val="FootnoteText"/>
      </w:pPr>
      <w:r w:rsidRPr="006F2102">
        <w:rPr>
          <w:rStyle w:val="FootnoteReference"/>
          <w:rFonts w:cstheme="minorHAnsi"/>
          <w:vertAlign w:val="baseline"/>
        </w:rPr>
        <w:footnoteRef/>
      </w:r>
      <w:r w:rsidR="004158E5" w:rsidRPr="00DD74FD">
        <w:t xml:space="preserve"> </w:t>
      </w:r>
      <w:r w:rsidR="00BD19C4">
        <w:tab/>
      </w:r>
      <w:r w:rsidR="004158E5" w:rsidRPr="00DD74FD">
        <w:t xml:space="preserve">See section 130ZD of the Act. </w:t>
      </w:r>
    </w:p>
  </w:footnote>
  <w:footnote w:id="29">
    <w:p w14:paraId="0064B9E6" w14:textId="19F03F0F" w:rsidR="00907EA1" w:rsidRPr="00DD74FD" w:rsidRDefault="006F2102" w:rsidP="0001552C">
      <w:pPr>
        <w:pStyle w:val="FootnoteText"/>
      </w:pPr>
      <w:r w:rsidRPr="006F2102">
        <w:rPr>
          <w:rStyle w:val="FootnoteReference"/>
          <w:rFonts w:cstheme="minorHAnsi"/>
          <w:vertAlign w:val="baseline"/>
        </w:rPr>
        <w:footnoteRef/>
      </w:r>
      <w:r w:rsidR="00907EA1" w:rsidRPr="00DD74FD">
        <w:t xml:space="preserve"> </w:t>
      </w:r>
      <w:r w:rsidR="00BD19C4">
        <w:tab/>
      </w:r>
      <w:r w:rsidR="00907EA1" w:rsidRPr="00DD74FD">
        <w:t>See section 130ZG of the Act.</w:t>
      </w:r>
    </w:p>
  </w:footnote>
  <w:footnote w:id="30">
    <w:p w14:paraId="53761BA0" w14:textId="30AFDD58" w:rsidR="00C73D55" w:rsidRPr="00DD74FD" w:rsidRDefault="006F2102" w:rsidP="0001552C">
      <w:pPr>
        <w:pStyle w:val="FootnoteText"/>
      </w:pPr>
      <w:r w:rsidRPr="006F2102">
        <w:rPr>
          <w:rStyle w:val="FootnoteReference"/>
          <w:rFonts w:cstheme="minorHAnsi"/>
          <w:vertAlign w:val="baseline"/>
        </w:rPr>
        <w:footnoteRef/>
      </w:r>
      <w:r w:rsidR="00C73D55" w:rsidRPr="00DD74FD">
        <w:t xml:space="preserve"> </w:t>
      </w:r>
      <w:r w:rsidR="00BD19C4">
        <w:tab/>
      </w:r>
      <w:r w:rsidR="00C73D55" w:rsidRPr="00DD74FD">
        <w:t xml:space="preserve">See section 130ZN of the Act. </w:t>
      </w:r>
    </w:p>
  </w:footnote>
  <w:footnote w:id="31">
    <w:p w14:paraId="4B7889BD" w14:textId="65CB49F7" w:rsidR="00C42765" w:rsidRPr="00B87B51" w:rsidRDefault="006F2102" w:rsidP="0001552C">
      <w:pPr>
        <w:pStyle w:val="FootnoteText"/>
      </w:pPr>
      <w:r w:rsidRPr="006F2102">
        <w:rPr>
          <w:rStyle w:val="FootnoteReference"/>
          <w:vertAlign w:val="baseline"/>
        </w:rPr>
        <w:footnoteRef/>
      </w:r>
      <w:r w:rsidR="00C42765">
        <w:t xml:space="preserve"> </w:t>
      </w:r>
      <w:r w:rsidR="00BD19C4">
        <w:tab/>
      </w:r>
      <w:r w:rsidR="00B17402">
        <w:t xml:space="preserve">See subsection </w:t>
      </w:r>
      <w:r w:rsidR="00B87B51">
        <w:t xml:space="preserve">130W(2)(b) of the Act and section 36(1) of the </w:t>
      </w:r>
      <w:r w:rsidR="00B87B51">
        <w:rPr>
          <w:i/>
          <w:iCs/>
        </w:rPr>
        <w:t>Acts Interpretation Act 1901</w:t>
      </w:r>
      <w:r w:rsidR="00B87B51">
        <w:t xml:space="preserve">. </w:t>
      </w:r>
    </w:p>
  </w:footnote>
  <w:footnote w:id="32">
    <w:p w14:paraId="63CB09A8" w14:textId="70A90509" w:rsidR="00F77190" w:rsidRDefault="006F2102" w:rsidP="0001552C">
      <w:pPr>
        <w:pStyle w:val="FootnoteText"/>
      </w:pPr>
      <w:r w:rsidRPr="006F2102">
        <w:rPr>
          <w:rStyle w:val="FootnoteReference"/>
          <w:vertAlign w:val="baseline"/>
        </w:rPr>
        <w:footnoteRef/>
      </w:r>
      <w:r w:rsidR="00F77190">
        <w:t xml:space="preserve"> </w:t>
      </w:r>
      <w:r w:rsidR="006E1598">
        <w:tab/>
      </w:r>
      <w:r w:rsidR="005113B0">
        <w:t xml:space="preserve">Note that </w:t>
      </w:r>
      <w:r w:rsidR="00085947">
        <w:t>this section does not discuss</w:t>
      </w:r>
      <w:r w:rsidR="00825396">
        <w:t xml:space="preserve"> actions specified in Part 5 of the Regulation, which </w:t>
      </w:r>
      <w:r w:rsidR="0087673E">
        <w:t>may involve interests in Australian land. Actions specified in Part 5 of the Regulation are discussed below</w:t>
      </w:r>
      <w:r w:rsidR="0076743F">
        <w:t xml:space="preserve"> (under </w:t>
      </w:r>
      <w:r w:rsidR="003F2C1D">
        <w:t>‘</w:t>
      </w:r>
      <w:r w:rsidR="0076743F">
        <w:t xml:space="preserve">When is </w:t>
      </w:r>
      <w:r w:rsidR="00A82C99">
        <w:t>a register notice in relation to a</w:t>
      </w:r>
      <w:r w:rsidR="00935998">
        <w:t xml:space="preserve"> direc</w:t>
      </w:r>
      <w:r w:rsidR="00F8593C">
        <w:t>t</w:t>
      </w:r>
      <w:r w:rsidR="00935998">
        <w:t xml:space="preserve"> interest in an entity </w:t>
      </w:r>
      <w:r w:rsidR="00D362AD">
        <w:rPr>
          <w:rFonts w:cs="Calibri Light"/>
          <w:color w:val="000000"/>
          <w:szCs w:val="22"/>
        </w:rPr>
        <w:t xml:space="preserve">business that wholly or partly </w:t>
      </w:r>
      <w:r w:rsidR="00935998">
        <w:t>carries on</w:t>
      </w:r>
      <w:r w:rsidR="00A82C99">
        <w:t xml:space="preserve"> an Australian media business due?</w:t>
      </w:r>
      <w:r w:rsidR="003F2C1D">
        <w:t>’</w:t>
      </w:r>
      <w:r w:rsidR="00A82C99">
        <w:t xml:space="preserve"> and </w:t>
      </w:r>
      <w:r w:rsidR="003F2C1D">
        <w:t>‘</w:t>
      </w:r>
      <w:r w:rsidR="001472BD">
        <w:t>W</w:t>
      </w:r>
      <w:r w:rsidR="00A82C99">
        <w:t>hen is a register notice in relation to an action by a foreign government investor due?</w:t>
      </w:r>
      <w:r w:rsidR="003F2C1D">
        <w:t>’</w:t>
      </w:r>
      <w:r w:rsidR="00DC15D0">
        <w:t>).</w:t>
      </w:r>
    </w:p>
  </w:footnote>
  <w:footnote w:id="33">
    <w:p w14:paraId="24D8E871" w14:textId="6C5BC84B" w:rsidR="003F742D" w:rsidRPr="00DD74FD" w:rsidRDefault="006F2102" w:rsidP="006E1598">
      <w:pPr>
        <w:pStyle w:val="FootnoteText"/>
      </w:pPr>
      <w:r w:rsidRPr="006F2102">
        <w:rPr>
          <w:rStyle w:val="FootnoteReference"/>
          <w:rFonts w:cstheme="minorHAnsi"/>
          <w:vertAlign w:val="baseline"/>
        </w:rPr>
        <w:footnoteRef/>
      </w:r>
      <w:r w:rsidR="003F742D" w:rsidRPr="00DD74FD">
        <w:t xml:space="preserve"> </w:t>
      </w:r>
      <w:r w:rsidR="00777773">
        <w:tab/>
      </w:r>
      <w:r w:rsidR="003F742D" w:rsidRPr="00DD74FD">
        <w:t xml:space="preserve">See sections 130ZA and 130ZC of the Act. </w:t>
      </w:r>
    </w:p>
  </w:footnote>
  <w:footnote w:id="34">
    <w:p w14:paraId="369F637B" w14:textId="7AFD1D62" w:rsidR="00867449" w:rsidRDefault="006F2102" w:rsidP="0001552C">
      <w:pPr>
        <w:pStyle w:val="FootnoteText"/>
      </w:pPr>
      <w:r w:rsidRPr="006F2102">
        <w:rPr>
          <w:rStyle w:val="FootnoteReference"/>
          <w:vertAlign w:val="baseline"/>
        </w:rPr>
        <w:footnoteRef/>
      </w:r>
      <w:r w:rsidR="00867449">
        <w:t xml:space="preserve"> </w:t>
      </w:r>
      <w:r w:rsidR="006E1598">
        <w:tab/>
      </w:r>
      <w:r w:rsidR="00867449">
        <w:t xml:space="preserve">Note that this section does not discuss actions specified in Part 5 of the Regulation, which may involve interests in </w:t>
      </w:r>
      <w:r w:rsidR="00A02671">
        <w:t>exploration tenements</w:t>
      </w:r>
      <w:r w:rsidR="00867449">
        <w:t>. Actions specified in Part 5 of the Regulation are discussed below</w:t>
      </w:r>
      <w:r w:rsidR="0056264A">
        <w:t xml:space="preserve"> </w:t>
      </w:r>
      <w:r w:rsidR="008176E3">
        <w:t xml:space="preserve">(under </w:t>
      </w:r>
      <w:r w:rsidR="003F2C1D">
        <w:t>‘</w:t>
      </w:r>
      <w:r w:rsidR="008176E3">
        <w:t xml:space="preserve">When is a register notice in relation to a </w:t>
      </w:r>
      <w:r w:rsidR="00BB7206">
        <w:t xml:space="preserve">direct interest in an entity </w:t>
      </w:r>
      <w:r w:rsidR="00144434">
        <w:rPr>
          <w:rFonts w:cs="Calibri Light"/>
          <w:color w:val="000000"/>
          <w:szCs w:val="22"/>
        </w:rPr>
        <w:t xml:space="preserve">business that wholly or partly </w:t>
      </w:r>
      <w:r w:rsidR="00BB7206">
        <w:t xml:space="preserve">carries on </w:t>
      </w:r>
      <w:r w:rsidR="008176E3">
        <w:t>an Australian media business due?</w:t>
      </w:r>
      <w:r w:rsidR="003F2C1D">
        <w:t>’</w:t>
      </w:r>
      <w:r w:rsidR="008176E3">
        <w:t xml:space="preserve"> and </w:t>
      </w:r>
      <w:r w:rsidR="003F2C1D">
        <w:t>‘</w:t>
      </w:r>
      <w:r w:rsidR="008176E3">
        <w:t>When is a register notice in relation to an action by a foreign government investor due?</w:t>
      </w:r>
      <w:r w:rsidR="003F2C1D">
        <w:t>’</w:t>
      </w:r>
      <w:r w:rsidR="008176E3">
        <w:t>).</w:t>
      </w:r>
    </w:p>
  </w:footnote>
  <w:footnote w:id="35">
    <w:p w14:paraId="59ED3D86" w14:textId="7FA1EB7A" w:rsidR="0076596D" w:rsidRPr="00DD74FD" w:rsidRDefault="006F2102" w:rsidP="0001552C">
      <w:pPr>
        <w:pStyle w:val="FootnoteText"/>
      </w:pPr>
      <w:r w:rsidRPr="006F2102">
        <w:rPr>
          <w:rStyle w:val="FootnoteReference"/>
          <w:rFonts w:cstheme="minorHAnsi"/>
          <w:vertAlign w:val="baseline"/>
        </w:rPr>
        <w:footnoteRef/>
      </w:r>
      <w:r w:rsidR="0076596D" w:rsidRPr="00DD74FD">
        <w:t xml:space="preserve"> </w:t>
      </w:r>
      <w:r w:rsidR="006E1598">
        <w:tab/>
      </w:r>
      <w:r w:rsidR="0076596D" w:rsidRPr="00DD74FD">
        <w:t xml:space="preserve">See sections 130ZB and 130ZC of the Act. </w:t>
      </w:r>
    </w:p>
  </w:footnote>
  <w:footnote w:id="36">
    <w:p w14:paraId="6CB6733A" w14:textId="4061648D" w:rsidR="00921C35" w:rsidRPr="00DD74FD" w:rsidRDefault="006F2102" w:rsidP="0001552C">
      <w:pPr>
        <w:pStyle w:val="FootnoteText"/>
      </w:pPr>
      <w:r w:rsidRPr="006F2102">
        <w:rPr>
          <w:rStyle w:val="FootnoteReference"/>
          <w:rFonts w:cstheme="minorHAnsi"/>
          <w:vertAlign w:val="baseline"/>
        </w:rPr>
        <w:footnoteRef/>
      </w:r>
      <w:r w:rsidR="00921C35" w:rsidRPr="00DD74FD">
        <w:t xml:space="preserve"> </w:t>
      </w:r>
      <w:r w:rsidR="00136256">
        <w:tab/>
      </w:r>
      <w:r w:rsidR="00921C35" w:rsidRPr="00DD74FD">
        <w:t>See section 130ZE of the Act.</w:t>
      </w:r>
    </w:p>
  </w:footnote>
  <w:footnote w:id="37">
    <w:p w14:paraId="2E6F5A3A" w14:textId="735B4565" w:rsidR="00921C35" w:rsidRPr="00DD74FD" w:rsidRDefault="006F2102" w:rsidP="0001552C">
      <w:pPr>
        <w:pStyle w:val="FootnoteText"/>
      </w:pPr>
      <w:r w:rsidRPr="006F2102">
        <w:rPr>
          <w:rStyle w:val="FootnoteReference"/>
          <w:rFonts w:cstheme="minorHAnsi"/>
          <w:vertAlign w:val="baseline"/>
        </w:rPr>
        <w:footnoteRef/>
      </w:r>
      <w:r w:rsidR="00921C35" w:rsidRPr="00DD74FD">
        <w:t xml:space="preserve"> </w:t>
      </w:r>
      <w:r w:rsidR="00136256">
        <w:tab/>
      </w:r>
      <w:r w:rsidR="00921C35" w:rsidRPr="00DD74FD">
        <w:t>See section 130ZF of the Act.</w:t>
      </w:r>
    </w:p>
  </w:footnote>
  <w:footnote w:id="38">
    <w:p w14:paraId="4B95C4C7" w14:textId="4B7618B3" w:rsidR="006C45B4" w:rsidRDefault="006F2102" w:rsidP="0001552C">
      <w:pPr>
        <w:pStyle w:val="FootnoteText"/>
      </w:pPr>
      <w:r w:rsidRPr="006F2102">
        <w:rPr>
          <w:rStyle w:val="FootnoteReference"/>
          <w:vertAlign w:val="baseline"/>
        </w:rPr>
        <w:footnoteRef/>
      </w:r>
      <w:r w:rsidR="006C45B4">
        <w:t xml:space="preserve"> </w:t>
      </w:r>
      <w:r w:rsidR="00136256">
        <w:tab/>
      </w:r>
      <w:r w:rsidR="006C45B4">
        <w:t xml:space="preserve">Note that this section does not discuss actions specified in Part 5 of the Regulation, which may involve interests in </w:t>
      </w:r>
      <w:r w:rsidR="00015E60">
        <w:t>entities or businesses</w:t>
      </w:r>
      <w:r w:rsidR="006C45B4">
        <w:t xml:space="preserve">. </w:t>
      </w:r>
      <w:r w:rsidR="001B21F4">
        <w:t xml:space="preserve">Actions specified in Part 5 of the Regulation are discussed below (under </w:t>
      </w:r>
      <w:r w:rsidR="003F2C1D">
        <w:t>‘</w:t>
      </w:r>
      <w:r w:rsidR="001B21F4">
        <w:t xml:space="preserve">When is a register notice in relation to </w:t>
      </w:r>
      <w:r w:rsidR="007862C6">
        <w:t xml:space="preserve">a </w:t>
      </w:r>
      <w:r w:rsidR="007D71E2">
        <w:t xml:space="preserve">direct interest in an entity </w:t>
      </w:r>
      <w:r w:rsidR="00C82CE6">
        <w:rPr>
          <w:rFonts w:cs="Calibri Light"/>
          <w:color w:val="000000"/>
          <w:szCs w:val="22"/>
        </w:rPr>
        <w:t xml:space="preserve">business that wholly or partly </w:t>
      </w:r>
      <w:r w:rsidR="007D71E2">
        <w:t xml:space="preserve">carries on an </w:t>
      </w:r>
      <w:r w:rsidR="001B21F4">
        <w:t>Australian media business due?</w:t>
      </w:r>
      <w:r w:rsidR="003F2C1D">
        <w:t>’</w:t>
      </w:r>
      <w:r w:rsidR="001B21F4">
        <w:t xml:space="preserve"> and </w:t>
      </w:r>
      <w:r w:rsidR="003F2C1D">
        <w:t>‘</w:t>
      </w:r>
      <w:r w:rsidR="001B21F4">
        <w:t>When is a register notice in relation to an action by a foreign government investor due?</w:t>
      </w:r>
      <w:r w:rsidR="003F2C1D">
        <w:t>’</w:t>
      </w:r>
      <w:r w:rsidR="001B21F4">
        <w:t>).</w:t>
      </w:r>
    </w:p>
  </w:footnote>
  <w:footnote w:id="39">
    <w:p w14:paraId="33DE4113" w14:textId="08B808C2" w:rsidR="00D96FD3" w:rsidRPr="00DD74FD" w:rsidRDefault="006F2102" w:rsidP="0001552C">
      <w:pPr>
        <w:pStyle w:val="FootnoteText"/>
      </w:pPr>
      <w:r w:rsidRPr="006F2102">
        <w:rPr>
          <w:rStyle w:val="FootnoteReference"/>
          <w:rFonts w:cstheme="minorHAnsi"/>
          <w:vertAlign w:val="baseline"/>
        </w:rPr>
        <w:footnoteRef/>
      </w:r>
      <w:r w:rsidR="00D96FD3" w:rsidRPr="00DD74FD">
        <w:t xml:space="preserve"> </w:t>
      </w:r>
      <w:r w:rsidR="00136256">
        <w:tab/>
      </w:r>
      <w:r w:rsidR="00D96FD3" w:rsidRPr="00DD74FD">
        <w:t>See sections 130ZH</w:t>
      </w:r>
      <w:r w:rsidR="000C20EF">
        <w:t xml:space="preserve">, </w:t>
      </w:r>
      <w:r w:rsidR="00D96FD3" w:rsidRPr="00DD74FD">
        <w:t>130ZI</w:t>
      </w:r>
      <w:r w:rsidR="0054632C">
        <w:t>, 130ZJ, 130ZK</w:t>
      </w:r>
      <w:r w:rsidR="0013532C">
        <w:t xml:space="preserve"> 130ZL, 130ZM, 130ZO, and 130ZP</w:t>
      </w:r>
      <w:r w:rsidR="00D96FD3" w:rsidRPr="00DD74FD">
        <w:t xml:space="preserve"> of the Act. </w:t>
      </w:r>
    </w:p>
  </w:footnote>
  <w:footnote w:id="40">
    <w:p w14:paraId="7C90F05C" w14:textId="1734C1BC" w:rsidR="00D37849" w:rsidRPr="00DD74FD" w:rsidRDefault="006F2102" w:rsidP="0001552C">
      <w:pPr>
        <w:pStyle w:val="FootnoteText"/>
      </w:pPr>
      <w:r w:rsidRPr="006F2102">
        <w:rPr>
          <w:rStyle w:val="FootnoteReference"/>
          <w:rFonts w:cstheme="minorHAnsi"/>
          <w:vertAlign w:val="baseline"/>
        </w:rPr>
        <w:footnoteRef/>
      </w:r>
      <w:r w:rsidR="00D37849" w:rsidRPr="00DD74FD">
        <w:t xml:space="preserve"> </w:t>
      </w:r>
      <w:r w:rsidR="00136256">
        <w:tab/>
      </w:r>
      <w:r w:rsidR="00D37849" w:rsidRPr="00DD74FD">
        <w:t xml:space="preserve">See section 130ZN of the Act. </w:t>
      </w:r>
    </w:p>
  </w:footnote>
  <w:footnote w:id="41">
    <w:p w14:paraId="2CA24447" w14:textId="5DF9192B" w:rsidR="000A3E83" w:rsidRPr="00DD74FD" w:rsidRDefault="006F2102" w:rsidP="0001552C">
      <w:pPr>
        <w:pStyle w:val="FootnoteText"/>
      </w:pPr>
      <w:r w:rsidRPr="006F2102">
        <w:rPr>
          <w:rStyle w:val="FootnoteReference"/>
          <w:rFonts w:cstheme="minorHAnsi"/>
          <w:vertAlign w:val="baseline"/>
        </w:rPr>
        <w:footnoteRef/>
      </w:r>
      <w:r w:rsidR="000A3E83" w:rsidRPr="00DD74FD">
        <w:t xml:space="preserve"> </w:t>
      </w:r>
      <w:r w:rsidR="00136256">
        <w:tab/>
      </w:r>
      <w:r w:rsidR="000A3E83" w:rsidRPr="00DD74FD">
        <w:t>Se</w:t>
      </w:r>
      <w:r w:rsidR="001C0CC6">
        <w:t>e</w:t>
      </w:r>
      <w:r w:rsidR="000A3E83" w:rsidRPr="00DD74FD">
        <w:t xml:space="preserve"> section 58B of the Regulation. </w:t>
      </w:r>
    </w:p>
  </w:footnote>
  <w:footnote w:id="42">
    <w:p w14:paraId="7355CEF9" w14:textId="622D2F32" w:rsidR="00771489" w:rsidRPr="00DD74FD" w:rsidRDefault="006F2102" w:rsidP="0001552C">
      <w:pPr>
        <w:pStyle w:val="FootnoteText"/>
      </w:pPr>
      <w:r w:rsidRPr="006F2102">
        <w:rPr>
          <w:rStyle w:val="FootnoteReference"/>
          <w:rFonts w:cstheme="minorHAnsi"/>
          <w:vertAlign w:val="baseline"/>
        </w:rPr>
        <w:footnoteRef/>
      </w:r>
      <w:r w:rsidR="00771489" w:rsidRPr="00DD74FD">
        <w:t xml:space="preserve"> </w:t>
      </w:r>
      <w:r w:rsidR="00136256">
        <w:tab/>
      </w:r>
      <w:r w:rsidR="00771489" w:rsidRPr="00DD74FD">
        <w:t>Se</w:t>
      </w:r>
      <w:r w:rsidR="009830A8">
        <w:t>e</w:t>
      </w:r>
      <w:r w:rsidR="00771489" w:rsidRPr="00DD74FD">
        <w:t xml:space="preserve"> section 58B of the Regulation. </w:t>
      </w:r>
    </w:p>
  </w:footnote>
  <w:footnote w:id="43">
    <w:p w14:paraId="7024BBF4" w14:textId="7A786DD9" w:rsidR="00A76755" w:rsidRPr="00DD74FD" w:rsidRDefault="006F2102" w:rsidP="0001552C">
      <w:pPr>
        <w:pStyle w:val="FootnoteText"/>
      </w:pPr>
      <w:r w:rsidRPr="006F2102">
        <w:rPr>
          <w:rStyle w:val="FootnoteReference"/>
          <w:rFonts w:cstheme="minorHAnsi"/>
          <w:vertAlign w:val="baseline"/>
        </w:rPr>
        <w:footnoteRef/>
      </w:r>
      <w:r w:rsidR="00A76755" w:rsidRPr="00DD74FD">
        <w:t xml:space="preserve"> </w:t>
      </w:r>
      <w:r w:rsidR="00136256">
        <w:tab/>
      </w:r>
      <w:r w:rsidR="00A76755" w:rsidRPr="00DD74FD">
        <w:t>See Subdivision B of Division 2 of Part 5B of the Regulation.</w:t>
      </w:r>
    </w:p>
  </w:footnote>
  <w:footnote w:id="44">
    <w:p w14:paraId="6422CCE0" w14:textId="791B121E" w:rsidR="002F5B89" w:rsidRPr="00DD74FD" w:rsidRDefault="006F2102" w:rsidP="0001552C">
      <w:pPr>
        <w:pStyle w:val="FootnoteText"/>
      </w:pPr>
      <w:r w:rsidRPr="006F2102">
        <w:rPr>
          <w:rStyle w:val="FootnoteReference"/>
          <w:rFonts w:cstheme="minorHAnsi"/>
          <w:vertAlign w:val="baseline"/>
        </w:rPr>
        <w:footnoteRef/>
      </w:r>
      <w:r w:rsidR="002F5B89" w:rsidRPr="00DD74FD">
        <w:t xml:space="preserve"> </w:t>
      </w:r>
      <w:r w:rsidR="00136256">
        <w:tab/>
      </w:r>
      <w:r w:rsidR="002F5B89" w:rsidRPr="00DD74FD">
        <w:t>See section 130ZD of the Act.</w:t>
      </w:r>
    </w:p>
  </w:footnote>
  <w:footnote w:id="45">
    <w:p w14:paraId="57FFFC32" w14:textId="1E930582" w:rsidR="00171532" w:rsidRPr="00DD74FD" w:rsidRDefault="006F2102" w:rsidP="0001552C">
      <w:pPr>
        <w:pStyle w:val="FootnoteText"/>
      </w:pPr>
      <w:r w:rsidRPr="006F2102">
        <w:rPr>
          <w:rStyle w:val="FootnoteReference"/>
          <w:rFonts w:cstheme="minorHAnsi"/>
          <w:vertAlign w:val="baseline"/>
        </w:rPr>
        <w:footnoteRef/>
      </w:r>
      <w:r w:rsidR="00171532" w:rsidRPr="00DD74FD">
        <w:t xml:space="preserve"> </w:t>
      </w:r>
      <w:r w:rsidR="00136256">
        <w:tab/>
      </w:r>
      <w:r w:rsidR="00171532" w:rsidRPr="00DD74FD">
        <w:t>See section 130ZG of the Act.</w:t>
      </w:r>
    </w:p>
  </w:footnote>
  <w:footnote w:id="46">
    <w:p w14:paraId="43548625" w14:textId="09470267" w:rsidR="001A1769" w:rsidRPr="00DD74FD" w:rsidRDefault="006F2102" w:rsidP="0001552C">
      <w:pPr>
        <w:pStyle w:val="FootnoteText"/>
      </w:pPr>
      <w:r w:rsidRPr="006F2102">
        <w:rPr>
          <w:rStyle w:val="FootnoteReference"/>
          <w:rFonts w:cstheme="minorHAnsi"/>
          <w:vertAlign w:val="baseline"/>
        </w:rPr>
        <w:footnoteRef/>
      </w:r>
      <w:r w:rsidR="001A1769" w:rsidRPr="00DD74FD">
        <w:t xml:space="preserve"> </w:t>
      </w:r>
      <w:r w:rsidR="00136256">
        <w:tab/>
      </w:r>
      <w:r w:rsidR="001A1769" w:rsidRPr="00DD74FD">
        <w:t xml:space="preserve">See section 130ZQ of the Act. </w:t>
      </w:r>
    </w:p>
  </w:footnote>
  <w:footnote w:id="47">
    <w:p w14:paraId="07C87CA9" w14:textId="0433E969" w:rsidR="006A3D05" w:rsidRPr="00DD74FD" w:rsidRDefault="006F2102" w:rsidP="0001552C">
      <w:pPr>
        <w:pStyle w:val="FootnoteText"/>
      </w:pPr>
      <w:r w:rsidRPr="006F2102">
        <w:rPr>
          <w:rStyle w:val="FootnoteReference"/>
          <w:rFonts w:cstheme="minorHAnsi"/>
          <w:vertAlign w:val="baseline"/>
        </w:rPr>
        <w:footnoteRef/>
      </w:r>
      <w:r w:rsidR="006A3D05" w:rsidRPr="00DD74FD">
        <w:t xml:space="preserve"> </w:t>
      </w:r>
      <w:r w:rsidR="00136256">
        <w:tab/>
      </w:r>
      <w:r w:rsidR="006A3D05" w:rsidRPr="00DD74FD">
        <w:t xml:space="preserve">See </w:t>
      </w:r>
      <w:r w:rsidR="006A3D05">
        <w:t>sub</w:t>
      </w:r>
      <w:r w:rsidR="006A3D05" w:rsidRPr="00DD74FD">
        <w:t>section 130</w:t>
      </w:r>
      <w:r w:rsidR="006A3D05" w:rsidRPr="00DD74FD">
        <w:t>ZR</w:t>
      </w:r>
      <w:r w:rsidR="006A3D05">
        <w:t>(5)</w:t>
      </w:r>
      <w:r w:rsidR="006A3D05" w:rsidRPr="00DD74FD">
        <w:t xml:space="preserve"> of the Act. </w:t>
      </w:r>
    </w:p>
  </w:footnote>
  <w:footnote w:id="48">
    <w:p w14:paraId="51650335" w14:textId="01E9B647" w:rsidR="00481809" w:rsidRDefault="006F2102" w:rsidP="0001552C">
      <w:pPr>
        <w:pStyle w:val="FootnoteText"/>
      </w:pPr>
      <w:r w:rsidRPr="006F2102">
        <w:rPr>
          <w:rStyle w:val="FootnoteReference"/>
          <w:vertAlign w:val="baseline"/>
        </w:rPr>
        <w:footnoteRef/>
      </w:r>
      <w:r w:rsidR="00481809">
        <w:t xml:space="preserve"> </w:t>
      </w:r>
      <w:r w:rsidR="00136256">
        <w:tab/>
      </w:r>
      <w:r w:rsidR="006A6F5A">
        <w:t>See subsection 130</w:t>
      </w:r>
      <w:r w:rsidR="006A6F5A">
        <w:t xml:space="preserve">ZR(7) of the Act. </w:t>
      </w:r>
    </w:p>
  </w:footnote>
  <w:footnote w:id="49">
    <w:p w14:paraId="02340CC6" w14:textId="7E026F6C" w:rsidR="001F478D" w:rsidRPr="00DD74FD" w:rsidRDefault="006F2102" w:rsidP="0001552C">
      <w:pPr>
        <w:pStyle w:val="FootnoteText"/>
      </w:pPr>
      <w:r w:rsidRPr="006F2102">
        <w:rPr>
          <w:rStyle w:val="FootnoteReference"/>
          <w:rFonts w:cstheme="minorHAnsi"/>
          <w:vertAlign w:val="baseline"/>
        </w:rPr>
        <w:footnoteRef/>
      </w:r>
      <w:r w:rsidR="001F478D" w:rsidRPr="00DD74FD">
        <w:t xml:space="preserve"> </w:t>
      </w:r>
      <w:r w:rsidR="00136256">
        <w:tab/>
      </w:r>
      <w:r w:rsidR="001F478D" w:rsidRPr="00DD74FD">
        <w:t xml:space="preserve">See section 130X of the Act. </w:t>
      </w:r>
    </w:p>
  </w:footnote>
  <w:footnote w:id="50">
    <w:p w14:paraId="60A4D3E0" w14:textId="3E7973D4" w:rsidR="00002D1D" w:rsidRDefault="006F2102" w:rsidP="0001552C">
      <w:pPr>
        <w:pStyle w:val="FootnoteText"/>
      </w:pPr>
      <w:r w:rsidRPr="006F2102">
        <w:rPr>
          <w:rStyle w:val="FootnoteReference"/>
          <w:vertAlign w:val="baseline"/>
        </w:rPr>
        <w:footnoteRef/>
      </w:r>
      <w:r w:rsidR="00002D1D">
        <w:t xml:space="preserve"> </w:t>
      </w:r>
      <w:r w:rsidR="00136256">
        <w:tab/>
      </w:r>
      <w:r w:rsidR="00E63663">
        <w:t xml:space="preserve">See section 130X of the Act. </w:t>
      </w:r>
    </w:p>
  </w:footnote>
  <w:footnote w:id="51">
    <w:p w14:paraId="4720F679" w14:textId="59A3D566" w:rsidR="0078182C" w:rsidRDefault="006F2102" w:rsidP="0001552C">
      <w:pPr>
        <w:pStyle w:val="FootnoteText"/>
      </w:pPr>
      <w:r w:rsidRPr="006F2102">
        <w:rPr>
          <w:rStyle w:val="FootnoteReference"/>
          <w:vertAlign w:val="baseline"/>
        </w:rPr>
        <w:footnoteRef/>
      </w:r>
      <w:r w:rsidR="0078182C">
        <w:t xml:space="preserve"> </w:t>
      </w:r>
      <w:r w:rsidR="00D16E6F">
        <w:tab/>
      </w:r>
      <w:r w:rsidR="0078182C">
        <w:t>See section 58H of the Regulation.</w:t>
      </w:r>
    </w:p>
  </w:footnote>
  <w:footnote w:id="52">
    <w:p w14:paraId="6E3E7C43" w14:textId="6097B64D" w:rsidR="00B2446F" w:rsidRDefault="00B2446F">
      <w:pPr>
        <w:pStyle w:val="FootnoteText"/>
      </w:pPr>
      <w:r w:rsidRPr="00C25C42">
        <w:rPr>
          <w:rStyle w:val="FootnoteReference"/>
          <w:vertAlign w:val="baseline"/>
        </w:rPr>
        <w:footnoteRef/>
      </w:r>
      <w:r>
        <w:t xml:space="preserve"> </w:t>
      </w:r>
      <w:r w:rsidR="0079434C">
        <w:tab/>
      </w:r>
      <w:r w:rsidR="00A95F66">
        <w:t>T</w:t>
      </w:r>
      <w:r w:rsidR="00C839B4">
        <w:t xml:space="preserve">hese reports </w:t>
      </w:r>
      <w:r w:rsidR="00A95F66">
        <w:t>should</w:t>
      </w:r>
      <w:r w:rsidR="00C839B4">
        <w:t xml:space="preserve"> be provided </w:t>
      </w:r>
      <w:r w:rsidR="002A3172">
        <w:t>through</w:t>
      </w:r>
      <w:r w:rsidR="002C341B">
        <w:t xml:space="preserve"> the Foreign Investment Portal</w:t>
      </w:r>
      <w:r w:rsidR="00C839B4" w:rsidRPr="00C839B4">
        <w:t xml:space="preserve">. </w:t>
      </w:r>
    </w:p>
  </w:footnote>
  <w:footnote w:id="53">
    <w:p w14:paraId="7F14FC26" w14:textId="7D3E8BD5" w:rsidR="00506038" w:rsidRDefault="006F2102" w:rsidP="0001552C">
      <w:pPr>
        <w:pStyle w:val="FootnoteText"/>
      </w:pPr>
      <w:r w:rsidRPr="006F2102">
        <w:rPr>
          <w:rStyle w:val="FootnoteReference"/>
          <w:vertAlign w:val="baseline"/>
        </w:rPr>
        <w:footnoteRef/>
      </w:r>
      <w:r w:rsidR="00506038">
        <w:t xml:space="preserve"> </w:t>
      </w:r>
      <w:r w:rsidR="00D16E6F">
        <w:tab/>
      </w:r>
      <w:r w:rsidR="00EE2720">
        <w:t>See s</w:t>
      </w:r>
      <w:r w:rsidR="00FF48E5">
        <w:t xml:space="preserve">ection </w:t>
      </w:r>
      <w:r w:rsidR="00B12A14">
        <w:t>7 of the Old Rules</w:t>
      </w:r>
      <w:r w:rsidR="006C0134">
        <w:t xml:space="preserve"> and</w:t>
      </w:r>
      <w:r w:rsidR="00B12A14">
        <w:t xml:space="preserve"> section 22A of the Regulation. </w:t>
      </w:r>
    </w:p>
  </w:footnote>
  <w:footnote w:id="54">
    <w:p w14:paraId="75DFB6CD" w14:textId="63876C27" w:rsidR="003A429E" w:rsidRDefault="006F2102" w:rsidP="0001552C">
      <w:pPr>
        <w:pStyle w:val="FootnoteText"/>
      </w:pPr>
      <w:r w:rsidRPr="006F2102">
        <w:rPr>
          <w:rStyle w:val="FootnoteReference"/>
          <w:vertAlign w:val="baseline"/>
        </w:rPr>
        <w:footnoteRef/>
      </w:r>
      <w:r w:rsidR="003A429E">
        <w:t xml:space="preserve"> </w:t>
      </w:r>
      <w:r w:rsidR="00D16E6F">
        <w:tab/>
      </w:r>
      <w:r w:rsidR="003A429E">
        <w:t xml:space="preserve">See section 8 of the Old </w:t>
      </w:r>
      <w:r w:rsidR="009E6333">
        <w:t>R</w:t>
      </w:r>
      <w:r w:rsidR="003A429E">
        <w:t>ules and section</w:t>
      </w:r>
      <w:r w:rsidR="001A43A9">
        <w:t>s</w:t>
      </w:r>
      <w:r w:rsidR="003A429E">
        <w:t xml:space="preserve"> 27</w:t>
      </w:r>
      <w:r w:rsidR="001A43A9">
        <w:t xml:space="preserve"> and 81</w:t>
      </w:r>
      <w:r w:rsidR="003A429E">
        <w:t xml:space="preserve"> of the Regulation. </w:t>
      </w:r>
    </w:p>
  </w:footnote>
  <w:footnote w:id="55">
    <w:p w14:paraId="22D16B1C" w14:textId="5D4D0515" w:rsidR="00CD6481" w:rsidRDefault="006F2102" w:rsidP="0001552C">
      <w:pPr>
        <w:pStyle w:val="FootnoteText"/>
      </w:pPr>
      <w:r w:rsidRPr="006F2102">
        <w:rPr>
          <w:rStyle w:val="FootnoteReference"/>
          <w:vertAlign w:val="baseline"/>
        </w:rPr>
        <w:footnoteRef/>
      </w:r>
      <w:r w:rsidR="00CD6481">
        <w:t xml:space="preserve"> </w:t>
      </w:r>
      <w:r w:rsidR="00D16E6F">
        <w:tab/>
      </w:r>
      <w:r w:rsidR="00973AB9">
        <w:t>See section 9 of the Old Rules and section</w:t>
      </w:r>
      <w:r w:rsidR="002E0878">
        <w:t>s</w:t>
      </w:r>
      <w:r w:rsidR="00973AB9">
        <w:t xml:space="preserve"> 27 </w:t>
      </w:r>
      <w:r w:rsidR="002E0878">
        <w:t xml:space="preserve">and 81 </w:t>
      </w:r>
      <w:r w:rsidR="00973AB9">
        <w:t>of the Regulation.</w:t>
      </w:r>
    </w:p>
  </w:footnote>
  <w:footnote w:id="56">
    <w:p w14:paraId="2202F63E" w14:textId="6EC8EC90" w:rsidR="000959DF" w:rsidRDefault="006F2102" w:rsidP="0001552C">
      <w:pPr>
        <w:pStyle w:val="FootnoteText"/>
      </w:pPr>
      <w:r w:rsidRPr="006F2102">
        <w:rPr>
          <w:rStyle w:val="FootnoteReference"/>
          <w:vertAlign w:val="baseline"/>
        </w:rPr>
        <w:footnoteRef/>
      </w:r>
      <w:r w:rsidR="000959DF">
        <w:t xml:space="preserve"> </w:t>
      </w:r>
      <w:r w:rsidR="00D16E6F">
        <w:tab/>
      </w:r>
      <w:r w:rsidR="00F420AF">
        <w:t xml:space="preserve">See section 10 of the Old Rules and section 41A of the Regulation. </w:t>
      </w:r>
    </w:p>
  </w:footnote>
  <w:footnote w:id="57">
    <w:p w14:paraId="56132A05" w14:textId="2D284CC5" w:rsidR="0027020C" w:rsidRDefault="006F2102" w:rsidP="0001552C">
      <w:pPr>
        <w:pStyle w:val="FootnoteText"/>
      </w:pPr>
      <w:r w:rsidRPr="006F2102">
        <w:rPr>
          <w:rStyle w:val="FootnoteReference"/>
          <w:vertAlign w:val="baseline"/>
        </w:rPr>
        <w:footnoteRef/>
      </w:r>
      <w:r w:rsidR="0027020C">
        <w:t xml:space="preserve"> </w:t>
      </w:r>
      <w:r w:rsidR="00D16E6F">
        <w:tab/>
      </w:r>
      <w:r w:rsidR="001774BE">
        <w:t>See section 27 of the Regulation.</w:t>
      </w:r>
    </w:p>
  </w:footnote>
  <w:footnote w:id="58">
    <w:p w14:paraId="2B19692B" w14:textId="7E15F02A" w:rsidR="00390340" w:rsidRDefault="006F2102" w:rsidP="0001552C">
      <w:pPr>
        <w:pStyle w:val="FootnoteText"/>
      </w:pPr>
      <w:r w:rsidRPr="006F2102">
        <w:rPr>
          <w:rStyle w:val="FootnoteReference"/>
          <w:vertAlign w:val="baseline"/>
        </w:rPr>
        <w:footnoteRef/>
      </w:r>
      <w:r w:rsidR="00390340">
        <w:t xml:space="preserve"> </w:t>
      </w:r>
      <w:r w:rsidR="00D16E6F">
        <w:tab/>
      </w:r>
      <w:r w:rsidR="001774BE">
        <w:t>S</w:t>
      </w:r>
      <w:r w:rsidR="003E0662">
        <w:t>ee section 27A of the Regulation</w:t>
      </w:r>
      <w:r w:rsidR="00A376B1">
        <w:t>.</w:t>
      </w:r>
    </w:p>
  </w:footnote>
  <w:footnote w:id="59">
    <w:p w14:paraId="68360DA9" w14:textId="371C7E3C" w:rsidR="00DB5761" w:rsidRDefault="006F2102" w:rsidP="0001552C">
      <w:pPr>
        <w:pStyle w:val="FootnoteText"/>
      </w:pPr>
      <w:r w:rsidRPr="006F2102">
        <w:rPr>
          <w:rStyle w:val="FootnoteReference"/>
          <w:vertAlign w:val="baseline"/>
        </w:rPr>
        <w:footnoteRef/>
      </w:r>
      <w:r w:rsidR="00DB5761">
        <w:t xml:space="preserve"> </w:t>
      </w:r>
      <w:r w:rsidR="00D16E6F">
        <w:tab/>
      </w:r>
      <w:r w:rsidR="00EE19F4">
        <w:t>See section 27B of the Regulation.</w:t>
      </w:r>
    </w:p>
  </w:footnote>
  <w:footnote w:id="60">
    <w:p w14:paraId="2489D07A" w14:textId="1AC4E459" w:rsidR="003D75B0" w:rsidRDefault="006F2102" w:rsidP="0001552C">
      <w:pPr>
        <w:pStyle w:val="FootnoteText"/>
      </w:pPr>
      <w:r w:rsidRPr="006F2102">
        <w:rPr>
          <w:rStyle w:val="FootnoteReference"/>
          <w:vertAlign w:val="baseline"/>
        </w:rPr>
        <w:footnoteRef/>
      </w:r>
      <w:r w:rsidR="003D75B0">
        <w:t xml:space="preserve"> </w:t>
      </w:r>
      <w:r w:rsidR="00D16E6F">
        <w:tab/>
      </w:r>
      <w:r w:rsidR="004A7A9B">
        <w:t xml:space="preserve">See section 29 of the Regulation. </w:t>
      </w:r>
    </w:p>
  </w:footnote>
  <w:footnote w:id="61">
    <w:p w14:paraId="6CD789D2" w14:textId="0E78DE69" w:rsidR="00E36ED2" w:rsidRDefault="006F2102" w:rsidP="0001552C">
      <w:pPr>
        <w:pStyle w:val="FootnoteText"/>
      </w:pPr>
      <w:r w:rsidRPr="006F2102">
        <w:rPr>
          <w:rStyle w:val="FootnoteReference"/>
          <w:vertAlign w:val="baseline"/>
        </w:rPr>
        <w:footnoteRef/>
      </w:r>
      <w:r w:rsidR="00E36ED2">
        <w:t xml:space="preserve"> </w:t>
      </w:r>
      <w:r w:rsidR="00D16E6F">
        <w:tab/>
      </w:r>
      <w:r w:rsidR="00211D89">
        <w:t xml:space="preserve">See section 31 of the Regulation. </w:t>
      </w:r>
    </w:p>
  </w:footnote>
  <w:footnote w:id="62">
    <w:p w14:paraId="2712CE19" w14:textId="4DF91ED6" w:rsidR="0081670C" w:rsidRDefault="006F2102" w:rsidP="0001552C">
      <w:pPr>
        <w:pStyle w:val="FootnoteText"/>
      </w:pPr>
      <w:r w:rsidRPr="006F2102">
        <w:rPr>
          <w:rStyle w:val="FootnoteReference"/>
          <w:vertAlign w:val="baseline"/>
        </w:rPr>
        <w:footnoteRef/>
      </w:r>
      <w:r w:rsidR="0081670C">
        <w:t xml:space="preserve"> </w:t>
      </w:r>
      <w:r w:rsidR="00D16E6F">
        <w:tab/>
      </w:r>
      <w:r w:rsidR="006C14DE">
        <w:t xml:space="preserve">See section 35 of the Regulation. </w:t>
      </w:r>
    </w:p>
  </w:footnote>
  <w:footnote w:id="63">
    <w:p w14:paraId="797AB746" w14:textId="6920D686" w:rsidR="009B6287" w:rsidRDefault="006F2102" w:rsidP="0001552C">
      <w:pPr>
        <w:pStyle w:val="FootnoteText"/>
      </w:pPr>
      <w:r w:rsidRPr="006F2102">
        <w:rPr>
          <w:rStyle w:val="FootnoteReference"/>
          <w:vertAlign w:val="baseline"/>
        </w:rPr>
        <w:footnoteRef/>
      </w:r>
      <w:r w:rsidR="009B6287">
        <w:t xml:space="preserve"> </w:t>
      </w:r>
      <w:r w:rsidR="00D16E6F">
        <w:tab/>
      </w:r>
      <w:r w:rsidR="00AA49F2">
        <w:t xml:space="preserve">See subsection 35(2) of the Regulation. </w:t>
      </w:r>
    </w:p>
  </w:footnote>
  <w:footnote w:id="64">
    <w:p w14:paraId="2F478877" w14:textId="2BD2CA44" w:rsidR="009522C3" w:rsidRDefault="006F2102" w:rsidP="0001552C">
      <w:pPr>
        <w:pStyle w:val="FootnoteText"/>
      </w:pPr>
      <w:r w:rsidRPr="006F2102">
        <w:rPr>
          <w:rStyle w:val="FootnoteReference"/>
          <w:vertAlign w:val="baseline"/>
        </w:rPr>
        <w:footnoteRef/>
      </w:r>
      <w:r w:rsidR="009522C3">
        <w:t xml:space="preserve"> </w:t>
      </w:r>
      <w:r w:rsidR="00D16E6F">
        <w:tab/>
      </w:r>
      <w:r w:rsidR="00F77EC0">
        <w:t xml:space="preserve">See section 38 of the Regulation. </w:t>
      </w:r>
    </w:p>
  </w:footnote>
  <w:footnote w:id="65">
    <w:p w14:paraId="31BDEE22" w14:textId="77777777" w:rsidR="00905414" w:rsidRDefault="00905414" w:rsidP="00905414">
      <w:pPr>
        <w:pStyle w:val="FootnoteText"/>
      </w:pPr>
      <w:r w:rsidRPr="00746114">
        <w:rPr>
          <w:rStyle w:val="FootnoteReference"/>
          <w:vertAlign w:val="baseline"/>
        </w:rPr>
        <w:footnoteRef/>
      </w:r>
      <w:r w:rsidRPr="00746114">
        <w:rPr>
          <w:rStyle w:val="FootnoteReference"/>
          <w:vertAlign w:val="baseline"/>
        </w:rPr>
        <w:t xml:space="preserve"> </w:t>
      </w:r>
      <w:r w:rsidRPr="00B417B7">
        <w:tab/>
        <w:t xml:space="preserve">see section 41 of the </w:t>
      </w:r>
      <w:r>
        <w:t>R</w:t>
      </w:r>
      <w:r w:rsidRPr="00B417B7">
        <w:t>egulation.</w:t>
      </w:r>
    </w:p>
  </w:footnote>
  <w:footnote w:id="66">
    <w:p w14:paraId="767BE21A" w14:textId="50A668A5" w:rsidR="00AD4A1E" w:rsidRDefault="006F2102" w:rsidP="0001552C">
      <w:pPr>
        <w:pStyle w:val="FootnoteText"/>
      </w:pPr>
      <w:r w:rsidRPr="006F2102">
        <w:rPr>
          <w:rStyle w:val="FootnoteReference"/>
          <w:vertAlign w:val="baseline"/>
        </w:rPr>
        <w:footnoteRef/>
      </w:r>
      <w:r w:rsidR="00AD4A1E">
        <w:t xml:space="preserve"> </w:t>
      </w:r>
      <w:r w:rsidR="00D16E6F">
        <w:tab/>
      </w:r>
      <w:r w:rsidR="004B0D17">
        <w:t xml:space="preserve">See section 58K of the Regulation. </w:t>
      </w:r>
    </w:p>
  </w:footnote>
  <w:footnote w:id="67">
    <w:p w14:paraId="7E9FB9EE" w14:textId="1B0968E5" w:rsidR="006218EB" w:rsidRPr="0048624A" w:rsidRDefault="006F2102" w:rsidP="0001552C">
      <w:pPr>
        <w:pStyle w:val="FootnoteText"/>
      </w:pPr>
      <w:r w:rsidRPr="006F2102">
        <w:rPr>
          <w:rStyle w:val="FootnoteReference"/>
          <w:vertAlign w:val="baseline"/>
        </w:rPr>
        <w:footnoteRef/>
      </w:r>
      <w:r w:rsidR="006218EB">
        <w:t xml:space="preserve"> </w:t>
      </w:r>
      <w:r w:rsidR="00D16E6F">
        <w:tab/>
      </w:r>
      <w:r w:rsidR="006218EB">
        <w:t xml:space="preserve">The </w:t>
      </w:r>
      <w:r w:rsidR="006218EB" w:rsidRPr="002C4C4B">
        <w:t>Foreign Acquisitions and Takeovers (Register Notices) Data Standard 2023</w:t>
      </w:r>
      <w:r w:rsidR="006218EB">
        <w:t xml:space="preserve"> sets out </w:t>
      </w:r>
      <w:r w:rsidR="00471F34">
        <w:t>some requirements for</w:t>
      </w:r>
      <w:r w:rsidR="00796ECF">
        <w:t xml:space="preserve"> the giving of</w:t>
      </w:r>
      <w:r w:rsidR="006218EB">
        <w:t xml:space="preserve"> register notice</w:t>
      </w:r>
      <w:r w:rsidR="00796ECF">
        <w:t>s</w:t>
      </w:r>
      <w:r w:rsidR="006218EB">
        <w:t xml:space="preserve">. </w:t>
      </w:r>
    </w:p>
  </w:footnote>
  <w:footnote w:id="68">
    <w:p w14:paraId="69D71426" w14:textId="30E83D1F" w:rsidR="004409B3" w:rsidRPr="00DD74FD" w:rsidRDefault="006F2102" w:rsidP="0001552C">
      <w:pPr>
        <w:pStyle w:val="FootnoteText"/>
      </w:pPr>
      <w:r w:rsidRPr="006F2102">
        <w:rPr>
          <w:rStyle w:val="FootnoteReference"/>
          <w:rFonts w:cstheme="minorHAnsi"/>
          <w:vertAlign w:val="baseline"/>
        </w:rPr>
        <w:footnoteRef/>
      </w:r>
      <w:r w:rsidR="004409B3" w:rsidRPr="00DD74FD">
        <w:t xml:space="preserve"> </w:t>
      </w:r>
      <w:r w:rsidR="00DE7DB2">
        <w:tab/>
      </w:r>
      <w:r w:rsidR="004409B3" w:rsidRPr="00DD74FD">
        <w:t>See Division 3 of Part 7 of the Act.</w:t>
      </w:r>
    </w:p>
  </w:footnote>
  <w:footnote w:id="69">
    <w:p w14:paraId="0B8FC3FB" w14:textId="587D900C" w:rsidR="00314C6B" w:rsidRDefault="006F2102" w:rsidP="0001552C">
      <w:pPr>
        <w:pStyle w:val="FootnoteText"/>
      </w:pPr>
      <w:r w:rsidRPr="006F2102">
        <w:rPr>
          <w:rStyle w:val="FootnoteReference"/>
          <w:vertAlign w:val="baseline"/>
        </w:rPr>
        <w:footnoteRef/>
      </w:r>
      <w:r w:rsidR="00314C6B">
        <w:t xml:space="preserve"> </w:t>
      </w:r>
      <w:r w:rsidR="00DE7DB2">
        <w:tab/>
      </w:r>
      <w:r w:rsidR="006B1BB6">
        <w:t xml:space="preserve">See section 130ZY of the Act. </w:t>
      </w:r>
    </w:p>
  </w:footnote>
  <w:footnote w:id="70">
    <w:p w14:paraId="44BC7EDC" w14:textId="640C08A1" w:rsidR="00C862C7" w:rsidRPr="00DD74FD" w:rsidRDefault="006F2102" w:rsidP="0001552C">
      <w:pPr>
        <w:pStyle w:val="FootnoteText"/>
      </w:pPr>
      <w:r w:rsidRPr="006F2102">
        <w:rPr>
          <w:rStyle w:val="FootnoteReference"/>
          <w:rFonts w:cstheme="minorHAnsi"/>
          <w:vertAlign w:val="baseline"/>
        </w:rPr>
        <w:footnoteRef/>
      </w:r>
      <w:r w:rsidR="00C862C7" w:rsidRPr="00DD74FD">
        <w:t xml:space="preserve"> </w:t>
      </w:r>
      <w:r w:rsidR="00DE7DB2">
        <w:tab/>
      </w:r>
      <w:r w:rsidR="00C862C7" w:rsidRPr="00DD74FD">
        <w:t>See Division 2 of Part 7 of the Act.</w:t>
      </w:r>
    </w:p>
  </w:footnote>
  <w:footnote w:id="71">
    <w:p w14:paraId="0E5BA33A" w14:textId="7B772938" w:rsidR="00C862C7" w:rsidRPr="00DD74FD" w:rsidRDefault="006F2102" w:rsidP="0001552C">
      <w:pPr>
        <w:pStyle w:val="FootnoteText"/>
      </w:pPr>
      <w:r w:rsidRPr="006F2102">
        <w:rPr>
          <w:rStyle w:val="FootnoteReference"/>
          <w:rFonts w:cstheme="minorHAnsi"/>
          <w:vertAlign w:val="baseline"/>
        </w:rPr>
        <w:footnoteRef/>
      </w:r>
      <w:r w:rsidR="00C862C7" w:rsidRPr="00DD74FD">
        <w:t xml:space="preserve"> </w:t>
      </w:r>
      <w:r w:rsidR="00DE7DB2">
        <w:tab/>
      </w:r>
      <w:r w:rsidR="00C862C7" w:rsidRPr="00DD74FD">
        <w:t xml:space="preserve">See section 119 of the Act. </w:t>
      </w:r>
    </w:p>
  </w:footnote>
  <w:footnote w:id="72">
    <w:p w14:paraId="7DBE68B5" w14:textId="257547AD" w:rsidR="001C4178" w:rsidRPr="00DD74FD" w:rsidRDefault="006F2102" w:rsidP="0001552C">
      <w:pPr>
        <w:pStyle w:val="FootnoteText"/>
      </w:pPr>
      <w:r w:rsidRPr="006F2102">
        <w:rPr>
          <w:rStyle w:val="FootnoteReference"/>
          <w:rFonts w:cstheme="minorHAnsi"/>
          <w:vertAlign w:val="baseline"/>
        </w:rPr>
        <w:footnoteRef/>
      </w:r>
      <w:r w:rsidR="001C4178" w:rsidRPr="00DD74FD">
        <w:t xml:space="preserve"> </w:t>
      </w:r>
      <w:r w:rsidR="00DE7DB2">
        <w:tab/>
      </w:r>
      <w:r w:rsidR="001C4178" w:rsidRPr="00DD74FD">
        <w:t>See section</w:t>
      </w:r>
      <w:r w:rsidR="001C4178">
        <w:t xml:space="preserve"> </w:t>
      </w:r>
      <w:r w:rsidR="001C4178" w:rsidRPr="00DD74FD">
        <w:t xml:space="preserve">130ZV of the Act. </w:t>
      </w:r>
    </w:p>
  </w:footnote>
  <w:footnote w:id="73">
    <w:p w14:paraId="384950B4" w14:textId="1F4B74EB" w:rsidR="008E4C13" w:rsidRDefault="006F2102" w:rsidP="0001552C">
      <w:pPr>
        <w:pStyle w:val="FootnoteText"/>
      </w:pPr>
      <w:r w:rsidRPr="006F2102">
        <w:rPr>
          <w:rStyle w:val="FootnoteReference"/>
          <w:vertAlign w:val="baseline"/>
        </w:rPr>
        <w:footnoteRef/>
      </w:r>
      <w:r w:rsidR="008E4C13">
        <w:t xml:space="preserve"> </w:t>
      </w:r>
      <w:r w:rsidR="00DE7DB2">
        <w:tab/>
      </w:r>
      <w:r w:rsidR="006C5ADA">
        <w:t>S</w:t>
      </w:r>
      <w:r w:rsidR="00602CCB">
        <w:t xml:space="preserve">ee section 100 of the Act. </w:t>
      </w:r>
    </w:p>
  </w:footnote>
  <w:footnote w:id="74">
    <w:p w14:paraId="21FC8A3A" w14:textId="2CD11046" w:rsidR="007425FC" w:rsidRPr="00DD74FD" w:rsidRDefault="006F2102" w:rsidP="0001552C">
      <w:pPr>
        <w:pStyle w:val="FootnoteText"/>
      </w:pPr>
      <w:r w:rsidRPr="006F2102">
        <w:rPr>
          <w:rStyle w:val="FootnoteReference"/>
          <w:rFonts w:cstheme="minorHAnsi"/>
          <w:vertAlign w:val="baseline"/>
        </w:rPr>
        <w:footnoteRef/>
      </w:r>
      <w:r w:rsidR="007425FC" w:rsidRPr="00DD74FD">
        <w:t xml:space="preserve"> </w:t>
      </w:r>
      <w:r w:rsidR="00DE7DB2">
        <w:tab/>
      </w:r>
      <w:r w:rsidR="007425FC" w:rsidRPr="00DD74FD">
        <w:t>See Part 7.4 of the</w:t>
      </w:r>
      <w:r w:rsidR="00A67228">
        <w:t xml:space="preserve"> Schedule to the</w:t>
      </w:r>
      <w:r w:rsidR="007425FC" w:rsidRPr="00DD74FD">
        <w:t xml:space="preserve"> </w:t>
      </w:r>
      <w:r w:rsidR="007425FC" w:rsidRPr="00DD74FD">
        <w:rPr>
          <w:i/>
          <w:iCs/>
        </w:rPr>
        <w:t>Criminal Code Act 1995</w:t>
      </w:r>
      <w:r w:rsidR="007425FC" w:rsidRPr="00DD74F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8E41" w14:textId="4728B2A1" w:rsidR="004A2389" w:rsidRPr="007F53C0" w:rsidRDefault="009B7EBA" w:rsidP="007F53C0">
    <w:pPr>
      <w:pStyle w:val="Header"/>
    </w:pPr>
    <w:r>
      <w:rPr>
        <w:noProof/>
      </w:rPr>
      <w:drawing>
        <wp:anchor distT="0" distB="0" distL="114300" distR="114300" simplePos="0" relativeHeight="251660289" behindDoc="1" locked="0" layoutInCell="1" allowOverlap="1" wp14:anchorId="5BD299AD" wp14:editId="2A457FBE">
          <wp:simplePos x="0" y="0"/>
          <wp:positionH relativeFrom="page">
            <wp:align>left</wp:align>
          </wp:positionH>
          <wp:positionV relativeFrom="page">
            <wp:align>top</wp:align>
          </wp:positionV>
          <wp:extent cx="7599600" cy="1047600"/>
          <wp:effectExtent l="0" t="0" r="1905" b="635"/>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4A2389" w:rsidRPr="007F53C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FF1B" w14:textId="77777777" w:rsidR="00617FDF" w:rsidRDefault="00617FDF">
    <w:pPr>
      <w:pStyle w:val="Header"/>
    </w:pPr>
    <w:r>
      <w:rPr>
        <w:noProof/>
      </w:rPr>
      <w:drawing>
        <wp:anchor distT="0" distB="0" distL="114300" distR="114300" simplePos="0" relativeHeight="251658240" behindDoc="1" locked="0" layoutInCell="1" allowOverlap="0" wp14:anchorId="12BCB8D4" wp14:editId="6D0B66F8">
          <wp:simplePos x="0" y="0"/>
          <wp:positionH relativeFrom="margin">
            <wp:align>center</wp:align>
          </wp:positionH>
          <wp:positionV relativeFrom="page">
            <wp:align>top</wp:align>
          </wp:positionV>
          <wp:extent cx="7599600" cy="1519200"/>
          <wp:effectExtent l="0" t="0" r="1905" b="508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D513E9"/>
    <w:multiLevelType w:val="hybridMultilevel"/>
    <w:tmpl w:val="1F9E6C96"/>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5" w15:restartNumberingAfterBreak="0">
    <w:nsid w:val="2B830D63"/>
    <w:multiLevelType w:val="hybridMultilevel"/>
    <w:tmpl w:val="9D6A97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34BA1239"/>
    <w:multiLevelType w:val="multilevel"/>
    <w:tmpl w:val="EA683EC4"/>
    <w:lvl w:ilvl="0">
      <w:start w:val="1"/>
      <w:numFmt w:val="bullet"/>
      <w:lvlText w:val=""/>
      <w:lvlJc w:val="left"/>
      <w:pPr>
        <w:ind w:left="360" w:hanging="360"/>
      </w:pPr>
      <w:rPr>
        <w:rFonts w:ascii="Symbol" w:hAnsi="Symbol" w:hint="default"/>
        <w:color w:val="000000"/>
        <w:sz w:val="28"/>
      </w:rPr>
    </w:lvl>
    <w:lvl w:ilvl="1">
      <w:start w:val="1"/>
      <w:numFmt w:val="bullet"/>
      <w:lvlText w:val=""/>
      <w:lvlJc w:val="left"/>
      <w:pPr>
        <w:tabs>
          <w:tab w:val="num" w:pos="1040"/>
        </w:tabs>
        <w:ind w:left="1040" w:hanging="520"/>
      </w:pPr>
      <w:rPr>
        <w:rFonts w:ascii="Symbol" w:hAnsi="Symbol" w:hint="default"/>
        <w:color w:val="24155A"/>
        <w:sz w:val="28"/>
      </w:rPr>
    </w:lvl>
    <w:lvl w:ilvl="2">
      <w:start w:val="1"/>
      <w:numFmt w:val="bullet"/>
      <w:lvlText w:val=":"/>
      <w:lvlJc w:val="left"/>
      <w:pPr>
        <w:tabs>
          <w:tab w:val="num" w:pos="1560"/>
        </w:tabs>
        <w:ind w:left="1560" w:hanging="520"/>
      </w:pPr>
      <w:rPr>
        <w:rFonts w:ascii="Times New Roman" w:hAnsi="Times New Roman" w:hint="default"/>
        <w:color w:val="24155A"/>
        <w:sz w:val="28"/>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39541D1C"/>
    <w:multiLevelType w:val="hybridMultilevel"/>
    <w:tmpl w:val="0E24DAC0"/>
    <w:lvl w:ilvl="0" w:tplc="8578CA6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5574EF"/>
    <w:multiLevelType w:val="hybridMultilevel"/>
    <w:tmpl w:val="DFD224D6"/>
    <w:lvl w:ilvl="0" w:tplc="4B8CB5C6">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E02E40"/>
    <w:multiLevelType w:val="hybridMultilevel"/>
    <w:tmpl w:val="F704F31E"/>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DD13A1"/>
    <w:multiLevelType w:val="multilevel"/>
    <w:tmpl w:val="E192279A"/>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287005A"/>
    <w:multiLevelType w:val="multilevel"/>
    <w:tmpl w:val="530C50A2"/>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rPr>
        <w:rFonts w:asciiTheme="minorHAnsi" w:hAnsiTheme="minorHAnsi" w:cstheme="minorHAnsi" w:hint="default"/>
        <w:sz w:val="22"/>
      </w:rPr>
    </w:lvl>
    <w:lvl w:ilvl="2">
      <w:start w:val="1"/>
      <w:numFmt w:val="decimal"/>
      <w:pStyle w:val="OutlineNumbered3"/>
      <w:lvlText w:val="%1.%2.%3."/>
      <w:lvlJc w:val="left"/>
      <w:pPr>
        <w:tabs>
          <w:tab w:val="num" w:pos="1701"/>
        </w:tabs>
        <w:ind w:left="1701" w:hanging="567"/>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25714615">
    <w:abstractNumId w:val="2"/>
  </w:num>
  <w:num w:numId="2" w16cid:durableId="1254826667">
    <w:abstractNumId w:val="15"/>
  </w:num>
  <w:num w:numId="3" w16cid:durableId="1631477977">
    <w:abstractNumId w:val="11"/>
  </w:num>
  <w:num w:numId="4" w16cid:durableId="1089960977">
    <w:abstractNumId w:val="12"/>
  </w:num>
  <w:num w:numId="5" w16cid:durableId="1438257404">
    <w:abstractNumId w:val="4"/>
  </w:num>
  <w:num w:numId="6" w16cid:durableId="274757467">
    <w:abstractNumId w:val="0"/>
  </w:num>
  <w:num w:numId="7" w16cid:durableId="519859343">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8581402">
    <w:abstractNumId w:val="1"/>
  </w:num>
  <w:num w:numId="9" w16cid:durableId="1248150759">
    <w:abstractNumId w:val="6"/>
  </w:num>
  <w:num w:numId="10" w16cid:durableId="1918322434">
    <w:abstractNumId w:val="7"/>
  </w:num>
  <w:num w:numId="11" w16cid:durableId="561142190">
    <w:abstractNumId w:val="10"/>
  </w:num>
  <w:num w:numId="12" w16cid:durableId="899829448">
    <w:abstractNumId w:val="3"/>
  </w:num>
  <w:num w:numId="13" w16cid:durableId="1771118374">
    <w:abstractNumId w:val="5"/>
  </w:num>
  <w:num w:numId="14" w16cid:durableId="1486819793">
    <w:abstractNumId w:val="8"/>
  </w:num>
  <w:num w:numId="15" w16cid:durableId="1605108577">
    <w:abstractNumId w:val="13"/>
  </w:num>
  <w:num w:numId="16" w16cid:durableId="1462071322">
    <w:abstractNumId w:val="14"/>
  </w:num>
  <w:num w:numId="17" w16cid:durableId="159200817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494943"/>
    <w:rsid w:val="000004C7"/>
    <w:rsid w:val="00000F49"/>
    <w:rsid w:val="0000142C"/>
    <w:rsid w:val="00001591"/>
    <w:rsid w:val="00002D1D"/>
    <w:rsid w:val="0000477F"/>
    <w:rsid w:val="00004F3F"/>
    <w:rsid w:val="00005BCE"/>
    <w:rsid w:val="00006236"/>
    <w:rsid w:val="000065FA"/>
    <w:rsid w:val="00011EDA"/>
    <w:rsid w:val="000123C4"/>
    <w:rsid w:val="00013A7B"/>
    <w:rsid w:val="000143D1"/>
    <w:rsid w:val="00014BCF"/>
    <w:rsid w:val="0001552C"/>
    <w:rsid w:val="00015E60"/>
    <w:rsid w:val="00016670"/>
    <w:rsid w:val="0001695E"/>
    <w:rsid w:val="00016B6C"/>
    <w:rsid w:val="000200BB"/>
    <w:rsid w:val="0002151A"/>
    <w:rsid w:val="00021695"/>
    <w:rsid w:val="00021A77"/>
    <w:rsid w:val="00025514"/>
    <w:rsid w:val="00025DF3"/>
    <w:rsid w:val="0003004C"/>
    <w:rsid w:val="00030FD0"/>
    <w:rsid w:val="00032672"/>
    <w:rsid w:val="00032B68"/>
    <w:rsid w:val="00033942"/>
    <w:rsid w:val="00035021"/>
    <w:rsid w:val="00035635"/>
    <w:rsid w:val="000369CF"/>
    <w:rsid w:val="00037BFE"/>
    <w:rsid w:val="000421F9"/>
    <w:rsid w:val="0004293A"/>
    <w:rsid w:val="0004445D"/>
    <w:rsid w:val="00045B79"/>
    <w:rsid w:val="00045C24"/>
    <w:rsid w:val="00046396"/>
    <w:rsid w:val="00046D1C"/>
    <w:rsid w:val="0005153C"/>
    <w:rsid w:val="00051CCA"/>
    <w:rsid w:val="00053180"/>
    <w:rsid w:val="00053312"/>
    <w:rsid w:val="00054FCE"/>
    <w:rsid w:val="00055DE2"/>
    <w:rsid w:val="000567FF"/>
    <w:rsid w:val="00056B9C"/>
    <w:rsid w:val="00060C76"/>
    <w:rsid w:val="00061AD0"/>
    <w:rsid w:val="00062376"/>
    <w:rsid w:val="00063F89"/>
    <w:rsid w:val="00066C74"/>
    <w:rsid w:val="00067C3E"/>
    <w:rsid w:val="00067E65"/>
    <w:rsid w:val="00070DDD"/>
    <w:rsid w:val="00071A43"/>
    <w:rsid w:val="00073E14"/>
    <w:rsid w:val="0007421D"/>
    <w:rsid w:val="000753CE"/>
    <w:rsid w:val="00077DD1"/>
    <w:rsid w:val="00080542"/>
    <w:rsid w:val="00081773"/>
    <w:rsid w:val="000818D0"/>
    <w:rsid w:val="00081DCC"/>
    <w:rsid w:val="00081F57"/>
    <w:rsid w:val="00081FC0"/>
    <w:rsid w:val="00084C7D"/>
    <w:rsid w:val="000857ED"/>
    <w:rsid w:val="00085947"/>
    <w:rsid w:val="000870CE"/>
    <w:rsid w:val="000873F3"/>
    <w:rsid w:val="000905D9"/>
    <w:rsid w:val="00092D36"/>
    <w:rsid w:val="00093746"/>
    <w:rsid w:val="000959DF"/>
    <w:rsid w:val="000971FD"/>
    <w:rsid w:val="000A05CD"/>
    <w:rsid w:val="000A3E83"/>
    <w:rsid w:val="000A4D2D"/>
    <w:rsid w:val="000A5A38"/>
    <w:rsid w:val="000A729E"/>
    <w:rsid w:val="000B177F"/>
    <w:rsid w:val="000B1EC3"/>
    <w:rsid w:val="000B2352"/>
    <w:rsid w:val="000B2788"/>
    <w:rsid w:val="000B3C90"/>
    <w:rsid w:val="000B4A00"/>
    <w:rsid w:val="000B5C1C"/>
    <w:rsid w:val="000B7DBF"/>
    <w:rsid w:val="000C02C9"/>
    <w:rsid w:val="000C0A14"/>
    <w:rsid w:val="000C1F15"/>
    <w:rsid w:val="000C20EF"/>
    <w:rsid w:val="000C294F"/>
    <w:rsid w:val="000C50F4"/>
    <w:rsid w:val="000C5282"/>
    <w:rsid w:val="000C65A2"/>
    <w:rsid w:val="000C7DBC"/>
    <w:rsid w:val="000D02DF"/>
    <w:rsid w:val="000D23E3"/>
    <w:rsid w:val="000D2433"/>
    <w:rsid w:val="000D33F2"/>
    <w:rsid w:val="000D66D3"/>
    <w:rsid w:val="000D6D48"/>
    <w:rsid w:val="000D79AE"/>
    <w:rsid w:val="000D7AD1"/>
    <w:rsid w:val="000D7D2F"/>
    <w:rsid w:val="000E101D"/>
    <w:rsid w:val="000E10FD"/>
    <w:rsid w:val="000E1123"/>
    <w:rsid w:val="000E22F3"/>
    <w:rsid w:val="000E324C"/>
    <w:rsid w:val="000E39B5"/>
    <w:rsid w:val="000E5D95"/>
    <w:rsid w:val="000E6C8F"/>
    <w:rsid w:val="000E7170"/>
    <w:rsid w:val="000E7C0E"/>
    <w:rsid w:val="000E7FE9"/>
    <w:rsid w:val="000F0D92"/>
    <w:rsid w:val="000F1C01"/>
    <w:rsid w:val="000F2493"/>
    <w:rsid w:val="000F2562"/>
    <w:rsid w:val="000F33C9"/>
    <w:rsid w:val="000F379D"/>
    <w:rsid w:val="000F38AC"/>
    <w:rsid w:val="000F5D58"/>
    <w:rsid w:val="0010073A"/>
    <w:rsid w:val="00100FDD"/>
    <w:rsid w:val="001018E3"/>
    <w:rsid w:val="00102238"/>
    <w:rsid w:val="001031BE"/>
    <w:rsid w:val="001055F7"/>
    <w:rsid w:val="00105EBE"/>
    <w:rsid w:val="00111FCF"/>
    <w:rsid w:val="00112BFA"/>
    <w:rsid w:val="00112EED"/>
    <w:rsid w:val="001132BB"/>
    <w:rsid w:val="001136CC"/>
    <w:rsid w:val="001145FD"/>
    <w:rsid w:val="0011550F"/>
    <w:rsid w:val="00115B2E"/>
    <w:rsid w:val="0011628E"/>
    <w:rsid w:val="001207FF"/>
    <w:rsid w:val="00125452"/>
    <w:rsid w:val="00126852"/>
    <w:rsid w:val="001307D4"/>
    <w:rsid w:val="00133D0C"/>
    <w:rsid w:val="0013532C"/>
    <w:rsid w:val="00135B63"/>
    <w:rsid w:val="00136256"/>
    <w:rsid w:val="001363E7"/>
    <w:rsid w:val="00137062"/>
    <w:rsid w:val="001376CC"/>
    <w:rsid w:val="00137C9B"/>
    <w:rsid w:val="00137F46"/>
    <w:rsid w:val="00140697"/>
    <w:rsid w:val="0014178A"/>
    <w:rsid w:val="0014352E"/>
    <w:rsid w:val="00143FAD"/>
    <w:rsid w:val="00144030"/>
    <w:rsid w:val="00144434"/>
    <w:rsid w:val="00144AFB"/>
    <w:rsid w:val="00144B84"/>
    <w:rsid w:val="00146CB3"/>
    <w:rsid w:val="001472BD"/>
    <w:rsid w:val="001472F3"/>
    <w:rsid w:val="0014792D"/>
    <w:rsid w:val="00147D2D"/>
    <w:rsid w:val="00150093"/>
    <w:rsid w:val="001555FF"/>
    <w:rsid w:val="00155C09"/>
    <w:rsid w:val="00157091"/>
    <w:rsid w:val="00161420"/>
    <w:rsid w:val="00161574"/>
    <w:rsid w:val="001644B0"/>
    <w:rsid w:val="00166A45"/>
    <w:rsid w:val="0017048B"/>
    <w:rsid w:val="001714E9"/>
    <w:rsid w:val="00171532"/>
    <w:rsid w:val="0017233E"/>
    <w:rsid w:val="00173578"/>
    <w:rsid w:val="00174954"/>
    <w:rsid w:val="00175C68"/>
    <w:rsid w:val="00176552"/>
    <w:rsid w:val="00176BD3"/>
    <w:rsid w:val="001774BE"/>
    <w:rsid w:val="00180143"/>
    <w:rsid w:val="00181A17"/>
    <w:rsid w:val="00182E9E"/>
    <w:rsid w:val="00182FE8"/>
    <w:rsid w:val="001833D7"/>
    <w:rsid w:val="001837A9"/>
    <w:rsid w:val="00183D6D"/>
    <w:rsid w:val="00183F40"/>
    <w:rsid w:val="001848E6"/>
    <w:rsid w:val="0018592F"/>
    <w:rsid w:val="00186F59"/>
    <w:rsid w:val="00190D7B"/>
    <w:rsid w:val="001916EC"/>
    <w:rsid w:val="00192367"/>
    <w:rsid w:val="001929D8"/>
    <w:rsid w:val="00193060"/>
    <w:rsid w:val="001938A6"/>
    <w:rsid w:val="00193F7B"/>
    <w:rsid w:val="0019471D"/>
    <w:rsid w:val="00195F3E"/>
    <w:rsid w:val="00197414"/>
    <w:rsid w:val="001A02B0"/>
    <w:rsid w:val="001A1769"/>
    <w:rsid w:val="001A1BD9"/>
    <w:rsid w:val="001A43A9"/>
    <w:rsid w:val="001A5155"/>
    <w:rsid w:val="001A563A"/>
    <w:rsid w:val="001A5DCC"/>
    <w:rsid w:val="001A6CDC"/>
    <w:rsid w:val="001B1D39"/>
    <w:rsid w:val="001B21F4"/>
    <w:rsid w:val="001B3678"/>
    <w:rsid w:val="001B39CC"/>
    <w:rsid w:val="001B3A29"/>
    <w:rsid w:val="001B540E"/>
    <w:rsid w:val="001B54AB"/>
    <w:rsid w:val="001B5874"/>
    <w:rsid w:val="001B7A98"/>
    <w:rsid w:val="001B7ED0"/>
    <w:rsid w:val="001C0CC6"/>
    <w:rsid w:val="001C16F1"/>
    <w:rsid w:val="001C19D8"/>
    <w:rsid w:val="001C1BF5"/>
    <w:rsid w:val="001C2A3F"/>
    <w:rsid w:val="001C2D0C"/>
    <w:rsid w:val="001C3050"/>
    <w:rsid w:val="001C4178"/>
    <w:rsid w:val="001C418F"/>
    <w:rsid w:val="001C4FE6"/>
    <w:rsid w:val="001C5117"/>
    <w:rsid w:val="001C52F8"/>
    <w:rsid w:val="001C75FB"/>
    <w:rsid w:val="001C78AE"/>
    <w:rsid w:val="001D3BDB"/>
    <w:rsid w:val="001D45A4"/>
    <w:rsid w:val="001E1888"/>
    <w:rsid w:val="001E5623"/>
    <w:rsid w:val="001E6240"/>
    <w:rsid w:val="001E6A00"/>
    <w:rsid w:val="001E6DC2"/>
    <w:rsid w:val="001E709A"/>
    <w:rsid w:val="001E7840"/>
    <w:rsid w:val="001E7CF5"/>
    <w:rsid w:val="001F2087"/>
    <w:rsid w:val="001F220A"/>
    <w:rsid w:val="001F23B1"/>
    <w:rsid w:val="001F3CF0"/>
    <w:rsid w:val="001F478D"/>
    <w:rsid w:val="001F481C"/>
    <w:rsid w:val="001F4C16"/>
    <w:rsid w:val="001F4DC8"/>
    <w:rsid w:val="001F50DA"/>
    <w:rsid w:val="001F66EB"/>
    <w:rsid w:val="001F6918"/>
    <w:rsid w:val="001F691E"/>
    <w:rsid w:val="001F7A2E"/>
    <w:rsid w:val="001F7E15"/>
    <w:rsid w:val="0020136A"/>
    <w:rsid w:val="00201EE3"/>
    <w:rsid w:val="00203245"/>
    <w:rsid w:val="00204B66"/>
    <w:rsid w:val="00205498"/>
    <w:rsid w:val="00205F44"/>
    <w:rsid w:val="00206178"/>
    <w:rsid w:val="00206E05"/>
    <w:rsid w:val="002105F8"/>
    <w:rsid w:val="00210A7A"/>
    <w:rsid w:val="00211A67"/>
    <w:rsid w:val="00211D89"/>
    <w:rsid w:val="00212219"/>
    <w:rsid w:val="00214F2B"/>
    <w:rsid w:val="0021551F"/>
    <w:rsid w:val="00215CBB"/>
    <w:rsid w:val="00215EE7"/>
    <w:rsid w:val="002212D8"/>
    <w:rsid w:val="002226C7"/>
    <w:rsid w:val="00223D87"/>
    <w:rsid w:val="002244C5"/>
    <w:rsid w:val="002255D4"/>
    <w:rsid w:val="002260D9"/>
    <w:rsid w:val="002268AB"/>
    <w:rsid w:val="00226F00"/>
    <w:rsid w:val="0022749C"/>
    <w:rsid w:val="00227C77"/>
    <w:rsid w:val="00230638"/>
    <w:rsid w:val="0023265B"/>
    <w:rsid w:val="00232797"/>
    <w:rsid w:val="00233887"/>
    <w:rsid w:val="00233A88"/>
    <w:rsid w:val="00235088"/>
    <w:rsid w:val="0023511A"/>
    <w:rsid w:val="002360CD"/>
    <w:rsid w:val="002401ED"/>
    <w:rsid w:val="00240762"/>
    <w:rsid w:val="00241B9A"/>
    <w:rsid w:val="0024226F"/>
    <w:rsid w:val="002433E9"/>
    <w:rsid w:val="002434C3"/>
    <w:rsid w:val="00243C1C"/>
    <w:rsid w:val="0024403B"/>
    <w:rsid w:val="00244584"/>
    <w:rsid w:val="00245342"/>
    <w:rsid w:val="002462BD"/>
    <w:rsid w:val="00247DE0"/>
    <w:rsid w:val="00252CAC"/>
    <w:rsid w:val="00253E21"/>
    <w:rsid w:val="002555ED"/>
    <w:rsid w:val="00255903"/>
    <w:rsid w:val="00260712"/>
    <w:rsid w:val="00260F6D"/>
    <w:rsid w:val="00262274"/>
    <w:rsid w:val="00263339"/>
    <w:rsid w:val="00264F10"/>
    <w:rsid w:val="002659F1"/>
    <w:rsid w:val="00265DBE"/>
    <w:rsid w:val="00265EB9"/>
    <w:rsid w:val="00267415"/>
    <w:rsid w:val="0027020C"/>
    <w:rsid w:val="0027046D"/>
    <w:rsid w:val="002714D1"/>
    <w:rsid w:val="00272E6B"/>
    <w:rsid w:val="002775F7"/>
    <w:rsid w:val="00280542"/>
    <w:rsid w:val="002809F6"/>
    <w:rsid w:val="0028126F"/>
    <w:rsid w:val="0028257D"/>
    <w:rsid w:val="00283303"/>
    <w:rsid w:val="002833AA"/>
    <w:rsid w:val="00283B86"/>
    <w:rsid w:val="0028498E"/>
    <w:rsid w:val="0028606B"/>
    <w:rsid w:val="002868D9"/>
    <w:rsid w:val="00287F32"/>
    <w:rsid w:val="00290711"/>
    <w:rsid w:val="00290F81"/>
    <w:rsid w:val="0029127B"/>
    <w:rsid w:val="0029134D"/>
    <w:rsid w:val="00294B3D"/>
    <w:rsid w:val="00294C58"/>
    <w:rsid w:val="00295869"/>
    <w:rsid w:val="002978C8"/>
    <w:rsid w:val="002979AC"/>
    <w:rsid w:val="002A0B32"/>
    <w:rsid w:val="002A0CE9"/>
    <w:rsid w:val="002A124B"/>
    <w:rsid w:val="002A3172"/>
    <w:rsid w:val="002A4916"/>
    <w:rsid w:val="002A4B83"/>
    <w:rsid w:val="002A52A7"/>
    <w:rsid w:val="002A61FC"/>
    <w:rsid w:val="002A6430"/>
    <w:rsid w:val="002A780E"/>
    <w:rsid w:val="002A79C5"/>
    <w:rsid w:val="002B03F8"/>
    <w:rsid w:val="002B10C3"/>
    <w:rsid w:val="002B1110"/>
    <w:rsid w:val="002B1802"/>
    <w:rsid w:val="002B23EC"/>
    <w:rsid w:val="002B3484"/>
    <w:rsid w:val="002B59E8"/>
    <w:rsid w:val="002B6375"/>
    <w:rsid w:val="002B678E"/>
    <w:rsid w:val="002B6E4A"/>
    <w:rsid w:val="002B6FDA"/>
    <w:rsid w:val="002B7C46"/>
    <w:rsid w:val="002C09BC"/>
    <w:rsid w:val="002C17B1"/>
    <w:rsid w:val="002C26D9"/>
    <w:rsid w:val="002C27FC"/>
    <w:rsid w:val="002C341B"/>
    <w:rsid w:val="002C3B0F"/>
    <w:rsid w:val="002C42F2"/>
    <w:rsid w:val="002C4717"/>
    <w:rsid w:val="002C4C4B"/>
    <w:rsid w:val="002C4F15"/>
    <w:rsid w:val="002C73F8"/>
    <w:rsid w:val="002C7791"/>
    <w:rsid w:val="002D0363"/>
    <w:rsid w:val="002D0463"/>
    <w:rsid w:val="002D0DD9"/>
    <w:rsid w:val="002D22F8"/>
    <w:rsid w:val="002D2925"/>
    <w:rsid w:val="002D49D1"/>
    <w:rsid w:val="002D6937"/>
    <w:rsid w:val="002D70EC"/>
    <w:rsid w:val="002E084B"/>
    <w:rsid w:val="002E0878"/>
    <w:rsid w:val="002E0A2C"/>
    <w:rsid w:val="002E3CB5"/>
    <w:rsid w:val="002E4A20"/>
    <w:rsid w:val="002E6DCB"/>
    <w:rsid w:val="002E7266"/>
    <w:rsid w:val="002F19F1"/>
    <w:rsid w:val="002F28EF"/>
    <w:rsid w:val="002F417B"/>
    <w:rsid w:val="002F4D3C"/>
    <w:rsid w:val="002F5854"/>
    <w:rsid w:val="002F5B89"/>
    <w:rsid w:val="002F69E7"/>
    <w:rsid w:val="002F6ADC"/>
    <w:rsid w:val="002F72CF"/>
    <w:rsid w:val="002F7E03"/>
    <w:rsid w:val="00300A57"/>
    <w:rsid w:val="00300C95"/>
    <w:rsid w:val="003018C3"/>
    <w:rsid w:val="00301D47"/>
    <w:rsid w:val="00302082"/>
    <w:rsid w:val="00302087"/>
    <w:rsid w:val="0030309A"/>
    <w:rsid w:val="0030311F"/>
    <w:rsid w:val="00303D44"/>
    <w:rsid w:val="003042C9"/>
    <w:rsid w:val="003054A8"/>
    <w:rsid w:val="00305F32"/>
    <w:rsid w:val="00306378"/>
    <w:rsid w:val="00306604"/>
    <w:rsid w:val="00306770"/>
    <w:rsid w:val="00307CCF"/>
    <w:rsid w:val="00307DA3"/>
    <w:rsid w:val="00307F1E"/>
    <w:rsid w:val="003112D2"/>
    <w:rsid w:val="00311D12"/>
    <w:rsid w:val="0031240B"/>
    <w:rsid w:val="00313C40"/>
    <w:rsid w:val="00314C6B"/>
    <w:rsid w:val="00315E08"/>
    <w:rsid w:val="003169B7"/>
    <w:rsid w:val="00317064"/>
    <w:rsid w:val="00320AA9"/>
    <w:rsid w:val="00320AFE"/>
    <w:rsid w:val="00321E2B"/>
    <w:rsid w:val="00322EEB"/>
    <w:rsid w:val="003247CB"/>
    <w:rsid w:val="0032536A"/>
    <w:rsid w:val="00326CB7"/>
    <w:rsid w:val="00327D31"/>
    <w:rsid w:val="003305CA"/>
    <w:rsid w:val="00332142"/>
    <w:rsid w:val="00334556"/>
    <w:rsid w:val="00335242"/>
    <w:rsid w:val="0034064A"/>
    <w:rsid w:val="003411C5"/>
    <w:rsid w:val="003412CF"/>
    <w:rsid w:val="0034498B"/>
    <w:rsid w:val="003449E1"/>
    <w:rsid w:val="0034513B"/>
    <w:rsid w:val="0034564D"/>
    <w:rsid w:val="003476D4"/>
    <w:rsid w:val="00350B76"/>
    <w:rsid w:val="00351608"/>
    <w:rsid w:val="00353390"/>
    <w:rsid w:val="00356A58"/>
    <w:rsid w:val="00357842"/>
    <w:rsid w:val="003600B7"/>
    <w:rsid w:val="003605AC"/>
    <w:rsid w:val="0036107F"/>
    <w:rsid w:val="00361D29"/>
    <w:rsid w:val="00363F8F"/>
    <w:rsid w:val="00365ABF"/>
    <w:rsid w:val="003669D5"/>
    <w:rsid w:val="00367BE0"/>
    <w:rsid w:val="00370912"/>
    <w:rsid w:val="00371FCB"/>
    <w:rsid w:val="00372AC1"/>
    <w:rsid w:val="003732C2"/>
    <w:rsid w:val="003802F4"/>
    <w:rsid w:val="0038249E"/>
    <w:rsid w:val="003831AB"/>
    <w:rsid w:val="003839D0"/>
    <w:rsid w:val="00383D73"/>
    <w:rsid w:val="0038539A"/>
    <w:rsid w:val="00386FA1"/>
    <w:rsid w:val="00387D31"/>
    <w:rsid w:val="00390340"/>
    <w:rsid w:val="0039071C"/>
    <w:rsid w:val="00390B71"/>
    <w:rsid w:val="00390C06"/>
    <w:rsid w:val="00392588"/>
    <w:rsid w:val="003925DB"/>
    <w:rsid w:val="003936D1"/>
    <w:rsid w:val="003973B9"/>
    <w:rsid w:val="003A0ED5"/>
    <w:rsid w:val="003A2AD4"/>
    <w:rsid w:val="003A429E"/>
    <w:rsid w:val="003A63D1"/>
    <w:rsid w:val="003A6A10"/>
    <w:rsid w:val="003B443E"/>
    <w:rsid w:val="003B47D2"/>
    <w:rsid w:val="003B60EF"/>
    <w:rsid w:val="003B76C7"/>
    <w:rsid w:val="003B7B16"/>
    <w:rsid w:val="003B7E40"/>
    <w:rsid w:val="003C047D"/>
    <w:rsid w:val="003C2748"/>
    <w:rsid w:val="003C4F86"/>
    <w:rsid w:val="003C6D39"/>
    <w:rsid w:val="003C789B"/>
    <w:rsid w:val="003D35EB"/>
    <w:rsid w:val="003D4380"/>
    <w:rsid w:val="003D56EA"/>
    <w:rsid w:val="003D6055"/>
    <w:rsid w:val="003D73C6"/>
    <w:rsid w:val="003D75B0"/>
    <w:rsid w:val="003E0662"/>
    <w:rsid w:val="003E13EF"/>
    <w:rsid w:val="003E17A9"/>
    <w:rsid w:val="003E1FEA"/>
    <w:rsid w:val="003E26C5"/>
    <w:rsid w:val="003E5875"/>
    <w:rsid w:val="003F1E1A"/>
    <w:rsid w:val="003F2C1D"/>
    <w:rsid w:val="003F2E2F"/>
    <w:rsid w:val="003F39AC"/>
    <w:rsid w:val="003F424B"/>
    <w:rsid w:val="003F5BB6"/>
    <w:rsid w:val="003F606C"/>
    <w:rsid w:val="003F640B"/>
    <w:rsid w:val="003F73C3"/>
    <w:rsid w:val="003F742D"/>
    <w:rsid w:val="00400C99"/>
    <w:rsid w:val="00401436"/>
    <w:rsid w:val="00401A49"/>
    <w:rsid w:val="004044C2"/>
    <w:rsid w:val="00406D44"/>
    <w:rsid w:val="00415294"/>
    <w:rsid w:val="004158E5"/>
    <w:rsid w:val="00415EA8"/>
    <w:rsid w:val="00416718"/>
    <w:rsid w:val="004211A4"/>
    <w:rsid w:val="00422264"/>
    <w:rsid w:val="00424ACC"/>
    <w:rsid w:val="00425E05"/>
    <w:rsid w:val="004307AF"/>
    <w:rsid w:val="00432F01"/>
    <w:rsid w:val="00434BCB"/>
    <w:rsid w:val="004400FB"/>
    <w:rsid w:val="00440615"/>
    <w:rsid w:val="004409B3"/>
    <w:rsid w:val="00441939"/>
    <w:rsid w:val="00441A85"/>
    <w:rsid w:val="00442C7E"/>
    <w:rsid w:val="00445B52"/>
    <w:rsid w:val="00450CCE"/>
    <w:rsid w:val="00452FFA"/>
    <w:rsid w:val="00454271"/>
    <w:rsid w:val="004542B7"/>
    <w:rsid w:val="004546DC"/>
    <w:rsid w:val="004549E9"/>
    <w:rsid w:val="004574ED"/>
    <w:rsid w:val="00460D09"/>
    <w:rsid w:val="004612D9"/>
    <w:rsid w:val="004618F7"/>
    <w:rsid w:val="004624BC"/>
    <w:rsid w:val="00462530"/>
    <w:rsid w:val="00462FD3"/>
    <w:rsid w:val="004636BE"/>
    <w:rsid w:val="00463D4E"/>
    <w:rsid w:val="00466C2B"/>
    <w:rsid w:val="00467376"/>
    <w:rsid w:val="0046783A"/>
    <w:rsid w:val="00470BA0"/>
    <w:rsid w:val="00471F34"/>
    <w:rsid w:val="00472D64"/>
    <w:rsid w:val="00474EB7"/>
    <w:rsid w:val="0047507F"/>
    <w:rsid w:val="00475714"/>
    <w:rsid w:val="00477439"/>
    <w:rsid w:val="00480199"/>
    <w:rsid w:val="00481809"/>
    <w:rsid w:val="00482C0D"/>
    <w:rsid w:val="0048409D"/>
    <w:rsid w:val="00485A3D"/>
    <w:rsid w:val="00486B7C"/>
    <w:rsid w:val="00487D31"/>
    <w:rsid w:val="00490C62"/>
    <w:rsid w:val="004912FA"/>
    <w:rsid w:val="00491DF6"/>
    <w:rsid w:val="00493509"/>
    <w:rsid w:val="00493867"/>
    <w:rsid w:val="004938D6"/>
    <w:rsid w:val="00494943"/>
    <w:rsid w:val="00496135"/>
    <w:rsid w:val="0049673E"/>
    <w:rsid w:val="00496C34"/>
    <w:rsid w:val="00497582"/>
    <w:rsid w:val="00497C8C"/>
    <w:rsid w:val="004A2389"/>
    <w:rsid w:val="004A2AFD"/>
    <w:rsid w:val="004A37EA"/>
    <w:rsid w:val="004A3E06"/>
    <w:rsid w:val="004A3E50"/>
    <w:rsid w:val="004A4424"/>
    <w:rsid w:val="004A5C11"/>
    <w:rsid w:val="004A6E94"/>
    <w:rsid w:val="004A7A9B"/>
    <w:rsid w:val="004B08DC"/>
    <w:rsid w:val="004B0D17"/>
    <w:rsid w:val="004B0E16"/>
    <w:rsid w:val="004B0F0C"/>
    <w:rsid w:val="004B1F2D"/>
    <w:rsid w:val="004B1F82"/>
    <w:rsid w:val="004B56B0"/>
    <w:rsid w:val="004B5DCA"/>
    <w:rsid w:val="004B77CE"/>
    <w:rsid w:val="004C01AE"/>
    <w:rsid w:val="004C0345"/>
    <w:rsid w:val="004C25F2"/>
    <w:rsid w:val="004C3D59"/>
    <w:rsid w:val="004C5917"/>
    <w:rsid w:val="004C5E48"/>
    <w:rsid w:val="004C6694"/>
    <w:rsid w:val="004D0778"/>
    <w:rsid w:val="004D285A"/>
    <w:rsid w:val="004D75F6"/>
    <w:rsid w:val="004E3E9B"/>
    <w:rsid w:val="004E424B"/>
    <w:rsid w:val="004E5060"/>
    <w:rsid w:val="004E58B5"/>
    <w:rsid w:val="004E668D"/>
    <w:rsid w:val="004E68F3"/>
    <w:rsid w:val="004E71FE"/>
    <w:rsid w:val="004E733B"/>
    <w:rsid w:val="004F0F73"/>
    <w:rsid w:val="004F24D0"/>
    <w:rsid w:val="004F53EC"/>
    <w:rsid w:val="004F61C5"/>
    <w:rsid w:val="004F67D0"/>
    <w:rsid w:val="00500246"/>
    <w:rsid w:val="005006ED"/>
    <w:rsid w:val="00502968"/>
    <w:rsid w:val="00502E10"/>
    <w:rsid w:val="00502F40"/>
    <w:rsid w:val="0050339B"/>
    <w:rsid w:val="00505009"/>
    <w:rsid w:val="00506038"/>
    <w:rsid w:val="0050666D"/>
    <w:rsid w:val="00506BF4"/>
    <w:rsid w:val="00507097"/>
    <w:rsid w:val="00511125"/>
    <w:rsid w:val="005113B0"/>
    <w:rsid w:val="0051241D"/>
    <w:rsid w:val="00512F64"/>
    <w:rsid w:val="00513A81"/>
    <w:rsid w:val="00514100"/>
    <w:rsid w:val="005149D4"/>
    <w:rsid w:val="005158D0"/>
    <w:rsid w:val="00515B25"/>
    <w:rsid w:val="00515EEB"/>
    <w:rsid w:val="0051600D"/>
    <w:rsid w:val="00516FB2"/>
    <w:rsid w:val="00517AA6"/>
    <w:rsid w:val="005204D5"/>
    <w:rsid w:val="00521C81"/>
    <w:rsid w:val="00522D46"/>
    <w:rsid w:val="00524DCE"/>
    <w:rsid w:val="00525050"/>
    <w:rsid w:val="00525974"/>
    <w:rsid w:val="00530DE2"/>
    <w:rsid w:val="0053110F"/>
    <w:rsid w:val="00531363"/>
    <w:rsid w:val="005323B8"/>
    <w:rsid w:val="00532EE6"/>
    <w:rsid w:val="00533417"/>
    <w:rsid w:val="00533FEF"/>
    <w:rsid w:val="00535C81"/>
    <w:rsid w:val="00536F05"/>
    <w:rsid w:val="0053708B"/>
    <w:rsid w:val="00540724"/>
    <w:rsid w:val="005413FC"/>
    <w:rsid w:val="005424FB"/>
    <w:rsid w:val="00542603"/>
    <w:rsid w:val="00545442"/>
    <w:rsid w:val="00545AF1"/>
    <w:rsid w:val="00545F70"/>
    <w:rsid w:val="0054632C"/>
    <w:rsid w:val="00546D8E"/>
    <w:rsid w:val="00546FDD"/>
    <w:rsid w:val="00551340"/>
    <w:rsid w:val="00552AC4"/>
    <w:rsid w:val="00552B98"/>
    <w:rsid w:val="00553BEA"/>
    <w:rsid w:val="00555CD7"/>
    <w:rsid w:val="00556C5E"/>
    <w:rsid w:val="00556E18"/>
    <w:rsid w:val="005606FD"/>
    <w:rsid w:val="00561126"/>
    <w:rsid w:val="00561AA7"/>
    <w:rsid w:val="0056264A"/>
    <w:rsid w:val="00562EB8"/>
    <w:rsid w:val="00562F24"/>
    <w:rsid w:val="005638FA"/>
    <w:rsid w:val="00564E4C"/>
    <w:rsid w:val="00565A52"/>
    <w:rsid w:val="00566423"/>
    <w:rsid w:val="00566AD8"/>
    <w:rsid w:val="00567929"/>
    <w:rsid w:val="00567C08"/>
    <w:rsid w:val="005702ED"/>
    <w:rsid w:val="00570B86"/>
    <w:rsid w:val="0057176F"/>
    <w:rsid w:val="0057204E"/>
    <w:rsid w:val="005732EB"/>
    <w:rsid w:val="00574297"/>
    <w:rsid w:val="005743C5"/>
    <w:rsid w:val="00574BA5"/>
    <w:rsid w:val="00575737"/>
    <w:rsid w:val="005803BF"/>
    <w:rsid w:val="0058117C"/>
    <w:rsid w:val="005826E1"/>
    <w:rsid w:val="00582FAD"/>
    <w:rsid w:val="00583AA3"/>
    <w:rsid w:val="00583ABC"/>
    <w:rsid w:val="0058529A"/>
    <w:rsid w:val="00585F7E"/>
    <w:rsid w:val="00586002"/>
    <w:rsid w:val="00587625"/>
    <w:rsid w:val="005876CE"/>
    <w:rsid w:val="00590857"/>
    <w:rsid w:val="005913E9"/>
    <w:rsid w:val="00592F04"/>
    <w:rsid w:val="00593155"/>
    <w:rsid w:val="00594ABF"/>
    <w:rsid w:val="005958A3"/>
    <w:rsid w:val="00596A66"/>
    <w:rsid w:val="00596BEF"/>
    <w:rsid w:val="00596D7A"/>
    <w:rsid w:val="005A11E6"/>
    <w:rsid w:val="005A2484"/>
    <w:rsid w:val="005A5084"/>
    <w:rsid w:val="005A6A61"/>
    <w:rsid w:val="005A6CF9"/>
    <w:rsid w:val="005A7456"/>
    <w:rsid w:val="005A7C5D"/>
    <w:rsid w:val="005B0968"/>
    <w:rsid w:val="005B1552"/>
    <w:rsid w:val="005B1EE4"/>
    <w:rsid w:val="005B207E"/>
    <w:rsid w:val="005B2484"/>
    <w:rsid w:val="005B3871"/>
    <w:rsid w:val="005B3D9B"/>
    <w:rsid w:val="005B4924"/>
    <w:rsid w:val="005B659D"/>
    <w:rsid w:val="005B6B98"/>
    <w:rsid w:val="005B727E"/>
    <w:rsid w:val="005B7B81"/>
    <w:rsid w:val="005C0118"/>
    <w:rsid w:val="005C1326"/>
    <w:rsid w:val="005C1870"/>
    <w:rsid w:val="005C192E"/>
    <w:rsid w:val="005C3527"/>
    <w:rsid w:val="005C4B02"/>
    <w:rsid w:val="005D024A"/>
    <w:rsid w:val="005D6A06"/>
    <w:rsid w:val="005D76D3"/>
    <w:rsid w:val="005D7A94"/>
    <w:rsid w:val="005E04C2"/>
    <w:rsid w:val="005E1183"/>
    <w:rsid w:val="005E3B4A"/>
    <w:rsid w:val="005E4E10"/>
    <w:rsid w:val="005E5849"/>
    <w:rsid w:val="005E5C5B"/>
    <w:rsid w:val="005E62D6"/>
    <w:rsid w:val="005F07D6"/>
    <w:rsid w:val="005F0FBF"/>
    <w:rsid w:val="005F17CC"/>
    <w:rsid w:val="005F238D"/>
    <w:rsid w:val="005F450E"/>
    <w:rsid w:val="005F4AFB"/>
    <w:rsid w:val="005F5505"/>
    <w:rsid w:val="005F5D3B"/>
    <w:rsid w:val="005F6AEC"/>
    <w:rsid w:val="005F6DA3"/>
    <w:rsid w:val="005F7890"/>
    <w:rsid w:val="006014A0"/>
    <w:rsid w:val="00602CCB"/>
    <w:rsid w:val="00602E68"/>
    <w:rsid w:val="0060574E"/>
    <w:rsid w:val="006131E0"/>
    <w:rsid w:val="00614971"/>
    <w:rsid w:val="00616F03"/>
    <w:rsid w:val="006178D3"/>
    <w:rsid w:val="00617C44"/>
    <w:rsid w:val="00617FDF"/>
    <w:rsid w:val="00620BB4"/>
    <w:rsid w:val="006215AA"/>
    <w:rsid w:val="006218EB"/>
    <w:rsid w:val="006228A4"/>
    <w:rsid w:val="006236E3"/>
    <w:rsid w:val="00623AE1"/>
    <w:rsid w:val="00627218"/>
    <w:rsid w:val="006278A2"/>
    <w:rsid w:val="00630090"/>
    <w:rsid w:val="00630236"/>
    <w:rsid w:val="006309E3"/>
    <w:rsid w:val="00631DFE"/>
    <w:rsid w:val="00632B83"/>
    <w:rsid w:val="00632D9B"/>
    <w:rsid w:val="00633811"/>
    <w:rsid w:val="00634C12"/>
    <w:rsid w:val="006350CD"/>
    <w:rsid w:val="006355D1"/>
    <w:rsid w:val="00635DD4"/>
    <w:rsid w:val="00636221"/>
    <w:rsid w:val="00636EF2"/>
    <w:rsid w:val="00637692"/>
    <w:rsid w:val="006377A8"/>
    <w:rsid w:val="006407D4"/>
    <w:rsid w:val="00640902"/>
    <w:rsid w:val="00645686"/>
    <w:rsid w:val="00646B0C"/>
    <w:rsid w:val="0064704A"/>
    <w:rsid w:val="00651589"/>
    <w:rsid w:val="0065442F"/>
    <w:rsid w:val="006548FB"/>
    <w:rsid w:val="006559CF"/>
    <w:rsid w:val="00657C12"/>
    <w:rsid w:val="0066079F"/>
    <w:rsid w:val="00660F49"/>
    <w:rsid w:val="00661766"/>
    <w:rsid w:val="006623A5"/>
    <w:rsid w:val="00663545"/>
    <w:rsid w:val="0066457E"/>
    <w:rsid w:val="00664737"/>
    <w:rsid w:val="00664B09"/>
    <w:rsid w:val="006661FF"/>
    <w:rsid w:val="006668BE"/>
    <w:rsid w:val="00666AFE"/>
    <w:rsid w:val="00666C05"/>
    <w:rsid w:val="00673A08"/>
    <w:rsid w:val="0067433B"/>
    <w:rsid w:val="006764FE"/>
    <w:rsid w:val="00677688"/>
    <w:rsid w:val="00681371"/>
    <w:rsid w:val="006819A4"/>
    <w:rsid w:val="00683E91"/>
    <w:rsid w:val="00684022"/>
    <w:rsid w:val="00684818"/>
    <w:rsid w:val="00684F75"/>
    <w:rsid w:val="006854F1"/>
    <w:rsid w:val="006878F8"/>
    <w:rsid w:val="006916AD"/>
    <w:rsid w:val="00694B4F"/>
    <w:rsid w:val="006956C8"/>
    <w:rsid w:val="006A0ECF"/>
    <w:rsid w:val="006A118D"/>
    <w:rsid w:val="006A2C58"/>
    <w:rsid w:val="006A3972"/>
    <w:rsid w:val="006A3D05"/>
    <w:rsid w:val="006A3D3B"/>
    <w:rsid w:val="006A5593"/>
    <w:rsid w:val="006A6E22"/>
    <w:rsid w:val="006A6F5A"/>
    <w:rsid w:val="006A712D"/>
    <w:rsid w:val="006A7434"/>
    <w:rsid w:val="006B01B1"/>
    <w:rsid w:val="006B0251"/>
    <w:rsid w:val="006B0ADE"/>
    <w:rsid w:val="006B1663"/>
    <w:rsid w:val="006B1BB6"/>
    <w:rsid w:val="006B1E32"/>
    <w:rsid w:val="006B3F59"/>
    <w:rsid w:val="006B4756"/>
    <w:rsid w:val="006B6C44"/>
    <w:rsid w:val="006B7B83"/>
    <w:rsid w:val="006C008E"/>
    <w:rsid w:val="006C0134"/>
    <w:rsid w:val="006C14DE"/>
    <w:rsid w:val="006C21FD"/>
    <w:rsid w:val="006C2305"/>
    <w:rsid w:val="006C2C73"/>
    <w:rsid w:val="006C3328"/>
    <w:rsid w:val="006C397F"/>
    <w:rsid w:val="006C45B4"/>
    <w:rsid w:val="006C5309"/>
    <w:rsid w:val="006C5826"/>
    <w:rsid w:val="006C5ADA"/>
    <w:rsid w:val="006C5B8B"/>
    <w:rsid w:val="006C6304"/>
    <w:rsid w:val="006C7C8E"/>
    <w:rsid w:val="006D27A6"/>
    <w:rsid w:val="006D3488"/>
    <w:rsid w:val="006D3603"/>
    <w:rsid w:val="006D3EE7"/>
    <w:rsid w:val="006D47BC"/>
    <w:rsid w:val="006D6960"/>
    <w:rsid w:val="006D696E"/>
    <w:rsid w:val="006D77E8"/>
    <w:rsid w:val="006E005C"/>
    <w:rsid w:val="006E101D"/>
    <w:rsid w:val="006E1598"/>
    <w:rsid w:val="006E1C12"/>
    <w:rsid w:val="006E25B6"/>
    <w:rsid w:val="006E34F6"/>
    <w:rsid w:val="006E5675"/>
    <w:rsid w:val="006E6882"/>
    <w:rsid w:val="006E6F8C"/>
    <w:rsid w:val="006E76BE"/>
    <w:rsid w:val="006E7E23"/>
    <w:rsid w:val="006E7E28"/>
    <w:rsid w:val="006F0918"/>
    <w:rsid w:val="006F0A0F"/>
    <w:rsid w:val="006F1340"/>
    <w:rsid w:val="006F2102"/>
    <w:rsid w:val="006F4668"/>
    <w:rsid w:val="006F4AB7"/>
    <w:rsid w:val="006F4BFC"/>
    <w:rsid w:val="006F55C5"/>
    <w:rsid w:val="006F56A2"/>
    <w:rsid w:val="006F5AB2"/>
    <w:rsid w:val="006F67EB"/>
    <w:rsid w:val="006F6E04"/>
    <w:rsid w:val="006F77F6"/>
    <w:rsid w:val="0070235B"/>
    <w:rsid w:val="0070247C"/>
    <w:rsid w:val="007039BE"/>
    <w:rsid w:val="00705AD6"/>
    <w:rsid w:val="00710DE9"/>
    <w:rsid w:val="00711A8F"/>
    <w:rsid w:val="0071641D"/>
    <w:rsid w:val="00717216"/>
    <w:rsid w:val="00720C82"/>
    <w:rsid w:val="00721A53"/>
    <w:rsid w:val="00722F56"/>
    <w:rsid w:val="00725ABF"/>
    <w:rsid w:val="007262AA"/>
    <w:rsid w:val="007277C9"/>
    <w:rsid w:val="00727A2A"/>
    <w:rsid w:val="007338C0"/>
    <w:rsid w:val="007343B8"/>
    <w:rsid w:val="007353B9"/>
    <w:rsid w:val="007355B8"/>
    <w:rsid w:val="00736715"/>
    <w:rsid w:val="00740D73"/>
    <w:rsid w:val="00740E75"/>
    <w:rsid w:val="007411A7"/>
    <w:rsid w:val="0074150C"/>
    <w:rsid w:val="00742571"/>
    <w:rsid w:val="007425FC"/>
    <w:rsid w:val="007433A6"/>
    <w:rsid w:val="00746119"/>
    <w:rsid w:val="00746442"/>
    <w:rsid w:val="007501EE"/>
    <w:rsid w:val="00750435"/>
    <w:rsid w:val="0075102B"/>
    <w:rsid w:val="00751C70"/>
    <w:rsid w:val="0075208A"/>
    <w:rsid w:val="007529E9"/>
    <w:rsid w:val="007544D5"/>
    <w:rsid w:val="00754855"/>
    <w:rsid w:val="00754EF8"/>
    <w:rsid w:val="007550E8"/>
    <w:rsid w:val="0075627D"/>
    <w:rsid w:val="007566A8"/>
    <w:rsid w:val="00760066"/>
    <w:rsid w:val="007600FA"/>
    <w:rsid w:val="0076093D"/>
    <w:rsid w:val="0076189B"/>
    <w:rsid w:val="00761DA0"/>
    <w:rsid w:val="007622D7"/>
    <w:rsid w:val="007647FB"/>
    <w:rsid w:val="0076596D"/>
    <w:rsid w:val="007661A6"/>
    <w:rsid w:val="00766665"/>
    <w:rsid w:val="00766986"/>
    <w:rsid w:val="0076743F"/>
    <w:rsid w:val="00771489"/>
    <w:rsid w:val="00771A05"/>
    <w:rsid w:val="00771B2D"/>
    <w:rsid w:val="007725BA"/>
    <w:rsid w:val="007746AB"/>
    <w:rsid w:val="00777773"/>
    <w:rsid w:val="00777FBC"/>
    <w:rsid w:val="00781523"/>
    <w:rsid w:val="007816AA"/>
    <w:rsid w:val="0078182C"/>
    <w:rsid w:val="007825F2"/>
    <w:rsid w:val="00782DE6"/>
    <w:rsid w:val="00784A3C"/>
    <w:rsid w:val="007862C6"/>
    <w:rsid w:val="00791058"/>
    <w:rsid w:val="007927B1"/>
    <w:rsid w:val="00793163"/>
    <w:rsid w:val="00793A14"/>
    <w:rsid w:val="00793BD7"/>
    <w:rsid w:val="0079434C"/>
    <w:rsid w:val="0079466D"/>
    <w:rsid w:val="0079611D"/>
    <w:rsid w:val="00796ECF"/>
    <w:rsid w:val="007A19DC"/>
    <w:rsid w:val="007A1D50"/>
    <w:rsid w:val="007A23C6"/>
    <w:rsid w:val="007A3441"/>
    <w:rsid w:val="007A354E"/>
    <w:rsid w:val="007A3B50"/>
    <w:rsid w:val="007A4195"/>
    <w:rsid w:val="007A6E4D"/>
    <w:rsid w:val="007B0756"/>
    <w:rsid w:val="007B07B1"/>
    <w:rsid w:val="007B0AD5"/>
    <w:rsid w:val="007B1C22"/>
    <w:rsid w:val="007B1F22"/>
    <w:rsid w:val="007B67B0"/>
    <w:rsid w:val="007B6953"/>
    <w:rsid w:val="007B7784"/>
    <w:rsid w:val="007C1094"/>
    <w:rsid w:val="007C3427"/>
    <w:rsid w:val="007C3CD0"/>
    <w:rsid w:val="007C4D61"/>
    <w:rsid w:val="007C525A"/>
    <w:rsid w:val="007D019D"/>
    <w:rsid w:val="007D0732"/>
    <w:rsid w:val="007D4EB7"/>
    <w:rsid w:val="007D53F8"/>
    <w:rsid w:val="007D6F47"/>
    <w:rsid w:val="007D71E2"/>
    <w:rsid w:val="007E013D"/>
    <w:rsid w:val="007E0975"/>
    <w:rsid w:val="007E264A"/>
    <w:rsid w:val="007E36E4"/>
    <w:rsid w:val="007E3CA1"/>
    <w:rsid w:val="007E4B30"/>
    <w:rsid w:val="007E5E07"/>
    <w:rsid w:val="007E6A19"/>
    <w:rsid w:val="007E7046"/>
    <w:rsid w:val="007E71CA"/>
    <w:rsid w:val="007E745F"/>
    <w:rsid w:val="007F09AD"/>
    <w:rsid w:val="007F1FCA"/>
    <w:rsid w:val="007F52D8"/>
    <w:rsid w:val="007F53C0"/>
    <w:rsid w:val="007F60EC"/>
    <w:rsid w:val="007F61E3"/>
    <w:rsid w:val="007F77CF"/>
    <w:rsid w:val="008017E7"/>
    <w:rsid w:val="00806600"/>
    <w:rsid w:val="00806CEE"/>
    <w:rsid w:val="008077B7"/>
    <w:rsid w:val="00810C9A"/>
    <w:rsid w:val="008139FB"/>
    <w:rsid w:val="0081670C"/>
    <w:rsid w:val="00816D9A"/>
    <w:rsid w:val="008176E3"/>
    <w:rsid w:val="00817D7D"/>
    <w:rsid w:val="00821329"/>
    <w:rsid w:val="00823F37"/>
    <w:rsid w:val="008242C1"/>
    <w:rsid w:val="008245C0"/>
    <w:rsid w:val="008247BF"/>
    <w:rsid w:val="00824C83"/>
    <w:rsid w:val="00825396"/>
    <w:rsid w:val="008266F6"/>
    <w:rsid w:val="00830E82"/>
    <w:rsid w:val="00831D8A"/>
    <w:rsid w:val="00835873"/>
    <w:rsid w:val="008369CD"/>
    <w:rsid w:val="00836F8F"/>
    <w:rsid w:val="00837916"/>
    <w:rsid w:val="008401C3"/>
    <w:rsid w:val="00841B5E"/>
    <w:rsid w:val="00843980"/>
    <w:rsid w:val="00843AAB"/>
    <w:rsid w:val="00844FFF"/>
    <w:rsid w:val="0084588C"/>
    <w:rsid w:val="00845E85"/>
    <w:rsid w:val="008462D3"/>
    <w:rsid w:val="00846FBB"/>
    <w:rsid w:val="00847719"/>
    <w:rsid w:val="00851AE1"/>
    <w:rsid w:val="00852963"/>
    <w:rsid w:val="00853C94"/>
    <w:rsid w:val="008543D8"/>
    <w:rsid w:val="00854E68"/>
    <w:rsid w:val="0085556B"/>
    <w:rsid w:val="008563EC"/>
    <w:rsid w:val="00857512"/>
    <w:rsid w:val="00857601"/>
    <w:rsid w:val="00860C0A"/>
    <w:rsid w:val="008616B9"/>
    <w:rsid w:val="00863557"/>
    <w:rsid w:val="008647CE"/>
    <w:rsid w:val="008667A1"/>
    <w:rsid w:val="00867449"/>
    <w:rsid w:val="0087025B"/>
    <w:rsid w:val="0087036B"/>
    <w:rsid w:val="008703C5"/>
    <w:rsid w:val="0087233F"/>
    <w:rsid w:val="00872918"/>
    <w:rsid w:val="0087673E"/>
    <w:rsid w:val="00877839"/>
    <w:rsid w:val="00877A8F"/>
    <w:rsid w:val="00877FEF"/>
    <w:rsid w:val="0088076D"/>
    <w:rsid w:val="00880902"/>
    <w:rsid w:val="0088159C"/>
    <w:rsid w:val="0088211A"/>
    <w:rsid w:val="00882BD6"/>
    <w:rsid w:val="00884BB0"/>
    <w:rsid w:val="00884F56"/>
    <w:rsid w:val="008854F6"/>
    <w:rsid w:val="00885E0B"/>
    <w:rsid w:val="00886524"/>
    <w:rsid w:val="00886667"/>
    <w:rsid w:val="008866F7"/>
    <w:rsid w:val="00886B7E"/>
    <w:rsid w:val="00886BC4"/>
    <w:rsid w:val="008870D2"/>
    <w:rsid w:val="00890E1A"/>
    <w:rsid w:val="008929BA"/>
    <w:rsid w:val="00892F3E"/>
    <w:rsid w:val="008939C1"/>
    <w:rsid w:val="00893B7F"/>
    <w:rsid w:val="00894650"/>
    <w:rsid w:val="00894D92"/>
    <w:rsid w:val="0089612A"/>
    <w:rsid w:val="00897157"/>
    <w:rsid w:val="008972E4"/>
    <w:rsid w:val="008973EA"/>
    <w:rsid w:val="008A02F3"/>
    <w:rsid w:val="008A0C23"/>
    <w:rsid w:val="008A1253"/>
    <w:rsid w:val="008A17B8"/>
    <w:rsid w:val="008A17F3"/>
    <w:rsid w:val="008A1C1D"/>
    <w:rsid w:val="008A2985"/>
    <w:rsid w:val="008A3567"/>
    <w:rsid w:val="008A3898"/>
    <w:rsid w:val="008A3924"/>
    <w:rsid w:val="008A4326"/>
    <w:rsid w:val="008A4824"/>
    <w:rsid w:val="008A48CA"/>
    <w:rsid w:val="008A55CC"/>
    <w:rsid w:val="008B228D"/>
    <w:rsid w:val="008B2938"/>
    <w:rsid w:val="008B37F5"/>
    <w:rsid w:val="008B395C"/>
    <w:rsid w:val="008B3F92"/>
    <w:rsid w:val="008B42CC"/>
    <w:rsid w:val="008B5006"/>
    <w:rsid w:val="008B59BE"/>
    <w:rsid w:val="008B5FEB"/>
    <w:rsid w:val="008B6CA3"/>
    <w:rsid w:val="008B75F8"/>
    <w:rsid w:val="008C1298"/>
    <w:rsid w:val="008C1688"/>
    <w:rsid w:val="008C30AD"/>
    <w:rsid w:val="008C3665"/>
    <w:rsid w:val="008C3F62"/>
    <w:rsid w:val="008C4596"/>
    <w:rsid w:val="008C5426"/>
    <w:rsid w:val="008C5773"/>
    <w:rsid w:val="008C64CC"/>
    <w:rsid w:val="008C71F5"/>
    <w:rsid w:val="008D03A4"/>
    <w:rsid w:val="008D0CA6"/>
    <w:rsid w:val="008D27ED"/>
    <w:rsid w:val="008D4CD0"/>
    <w:rsid w:val="008D5358"/>
    <w:rsid w:val="008D6EE4"/>
    <w:rsid w:val="008D6F39"/>
    <w:rsid w:val="008E0180"/>
    <w:rsid w:val="008E04BD"/>
    <w:rsid w:val="008E2CCB"/>
    <w:rsid w:val="008E35A5"/>
    <w:rsid w:val="008E4C13"/>
    <w:rsid w:val="008E647D"/>
    <w:rsid w:val="008E70E5"/>
    <w:rsid w:val="008E71E0"/>
    <w:rsid w:val="008F0B15"/>
    <w:rsid w:val="008F10B8"/>
    <w:rsid w:val="008F1AA6"/>
    <w:rsid w:val="008F2212"/>
    <w:rsid w:val="008F73C8"/>
    <w:rsid w:val="008F75E9"/>
    <w:rsid w:val="008F7E69"/>
    <w:rsid w:val="00900F12"/>
    <w:rsid w:val="0090146C"/>
    <w:rsid w:val="00903786"/>
    <w:rsid w:val="00903AB2"/>
    <w:rsid w:val="009041C7"/>
    <w:rsid w:val="00905414"/>
    <w:rsid w:val="0090555C"/>
    <w:rsid w:val="0090583A"/>
    <w:rsid w:val="00905F29"/>
    <w:rsid w:val="0090703C"/>
    <w:rsid w:val="0090719E"/>
    <w:rsid w:val="00907EA1"/>
    <w:rsid w:val="009109AA"/>
    <w:rsid w:val="00912342"/>
    <w:rsid w:val="00912984"/>
    <w:rsid w:val="00913035"/>
    <w:rsid w:val="00917422"/>
    <w:rsid w:val="00921C35"/>
    <w:rsid w:val="00923B1C"/>
    <w:rsid w:val="00926879"/>
    <w:rsid w:val="00927347"/>
    <w:rsid w:val="0093084E"/>
    <w:rsid w:val="00932763"/>
    <w:rsid w:val="0093294B"/>
    <w:rsid w:val="00933C8C"/>
    <w:rsid w:val="00935998"/>
    <w:rsid w:val="009367F6"/>
    <w:rsid w:val="00936816"/>
    <w:rsid w:val="0093741D"/>
    <w:rsid w:val="009374B2"/>
    <w:rsid w:val="00942610"/>
    <w:rsid w:val="00942CB3"/>
    <w:rsid w:val="00943050"/>
    <w:rsid w:val="009434E6"/>
    <w:rsid w:val="009435B6"/>
    <w:rsid w:val="00944174"/>
    <w:rsid w:val="00946689"/>
    <w:rsid w:val="00950B38"/>
    <w:rsid w:val="00951652"/>
    <w:rsid w:val="00951698"/>
    <w:rsid w:val="00951E06"/>
    <w:rsid w:val="009522C3"/>
    <w:rsid w:val="00952F2F"/>
    <w:rsid w:val="00953704"/>
    <w:rsid w:val="00954116"/>
    <w:rsid w:val="00955A98"/>
    <w:rsid w:val="00955CF5"/>
    <w:rsid w:val="009563DB"/>
    <w:rsid w:val="009576B4"/>
    <w:rsid w:val="00957BD0"/>
    <w:rsid w:val="00957F8F"/>
    <w:rsid w:val="00961276"/>
    <w:rsid w:val="009612FC"/>
    <w:rsid w:val="00961699"/>
    <w:rsid w:val="00965853"/>
    <w:rsid w:val="00965C4B"/>
    <w:rsid w:val="00965F41"/>
    <w:rsid w:val="0096660D"/>
    <w:rsid w:val="00966BAC"/>
    <w:rsid w:val="00972D6B"/>
    <w:rsid w:val="00972F70"/>
    <w:rsid w:val="00973AB9"/>
    <w:rsid w:val="00973CA1"/>
    <w:rsid w:val="009757BB"/>
    <w:rsid w:val="0098151F"/>
    <w:rsid w:val="009830A8"/>
    <w:rsid w:val="00983ABA"/>
    <w:rsid w:val="0098492D"/>
    <w:rsid w:val="00985797"/>
    <w:rsid w:val="00986A46"/>
    <w:rsid w:val="009874C3"/>
    <w:rsid w:val="009906A6"/>
    <w:rsid w:val="00992531"/>
    <w:rsid w:val="00992ADC"/>
    <w:rsid w:val="00994F6C"/>
    <w:rsid w:val="0099562E"/>
    <w:rsid w:val="009961AF"/>
    <w:rsid w:val="009A3179"/>
    <w:rsid w:val="009A5A32"/>
    <w:rsid w:val="009A6D32"/>
    <w:rsid w:val="009A71C4"/>
    <w:rsid w:val="009A7F89"/>
    <w:rsid w:val="009B15EC"/>
    <w:rsid w:val="009B1781"/>
    <w:rsid w:val="009B1C47"/>
    <w:rsid w:val="009B1D10"/>
    <w:rsid w:val="009B2546"/>
    <w:rsid w:val="009B464D"/>
    <w:rsid w:val="009B46DF"/>
    <w:rsid w:val="009B4B17"/>
    <w:rsid w:val="009B5AEB"/>
    <w:rsid w:val="009B6287"/>
    <w:rsid w:val="009B7B91"/>
    <w:rsid w:val="009B7EBA"/>
    <w:rsid w:val="009C1F90"/>
    <w:rsid w:val="009C29D2"/>
    <w:rsid w:val="009C52DA"/>
    <w:rsid w:val="009C5E07"/>
    <w:rsid w:val="009C66A3"/>
    <w:rsid w:val="009C6BC6"/>
    <w:rsid w:val="009C6CE9"/>
    <w:rsid w:val="009D1D8A"/>
    <w:rsid w:val="009D5D2F"/>
    <w:rsid w:val="009D616A"/>
    <w:rsid w:val="009D7EAD"/>
    <w:rsid w:val="009E030A"/>
    <w:rsid w:val="009E0B0C"/>
    <w:rsid w:val="009E1EB6"/>
    <w:rsid w:val="009E6061"/>
    <w:rsid w:val="009E60F2"/>
    <w:rsid w:val="009E6333"/>
    <w:rsid w:val="009E7B14"/>
    <w:rsid w:val="009F3342"/>
    <w:rsid w:val="009F5225"/>
    <w:rsid w:val="009F549A"/>
    <w:rsid w:val="009F6277"/>
    <w:rsid w:val="009F7310"/>
    <w:rsid w:val="00A00B29"/>
    <w:rsid w:val="00A01086"/>
    <w:rsid w:val="00A02671"/>
    <w:rsid w:val="00A027D2"/>
    <w:rsid w:val="00A028FC"/>
    <w:rsid w:val="00A05E57"/>
    <w:rsid w:val="00A05E5E"/>
    <w:rsid w:val="00A1120D"/>
    <w:rsid w:val="00A11DEC"/>
    <w:rsid w:val="00A13CB3"/>
    <w:rsid w:val="00A13F0D"/>
    <w:rsid w:val="00A15DB7"/>
    <w:rsid w:val="00A17503"/>
    <w:rsid w:val="00A210FD"/>
    <w:rsid w:val="00A215B3"/>
    <w:rsid w:val="00A216E1"/>
    <w:rsid w:val="00A2268F"/>
    <w:rsid w:val="00A23A67"/>
    <w:rsid w:val="00A24D20"/>
    <w:rsid w:val="00A25967"/>
    <w:rsid w:val="00A26130"/>
    <w:rsid w:val="00A27C44"/>
    <w:rsid w:val="00A3053A"/>
    <w:rsid w:val="00A30D27"/>
    <w:rsid w:val="00A31BD8"/>
    <w:rsid w:val="00A32306"/>
    <w:rsid w:val="00A32880"/>
    <w:rsid w:val="00A32C4E"/>
    <w:rsid w:val="00A3452B"/>
    <w:rsid w:val="00A376B1"/>
    <w:rsid w:val="00A37F8F"/>
    <w:rsid w:val="00A41D7D"/>
    <w:rsid w:val="00A4391C"/>
    <w:rsid w:val="00A43C3A"/>
    <w:rsid w:val="00A45CBE"/>
    <w:rsid w:val="00A45D47"/>
    <w:rsid w:val="00A465B1"/>
    <w:rsid w:val="00A46A9A"/>
    <w:rsid w:val="00A473A3"/>
    <w:rsid w:val="00A47500"/>
    <w:rsid w:val="00A50111"/>
    <w:rsid w:val="00A5069E"/>
    <w:rsid w:val="00A52504"/>
    <w:rsid w:val="00A527E5"/>
    <w:rsid w:val="00A52C22"/>
    <w:rsid w:val="00A53AE4"/>
    <w:rsid w:val="00A54DDE"/>
    <w:rsid w:val="00A5578C"/>
    <w:rsid w:val="00A60022"/>
    <w:rsid w:val="00A61139"/>
    <w:rsid w:val="00A61205"/>
    <w:rsid w:val="00A612EB"/>
    <w:rsid w:val="00A62472"/>
    <w:rsid w:val="00A628F8"/>
    <w:rsid w:val="00A63B24"/>
    <w:rsid w:val="00A6514E"/>
    <w:rsid w:val="00A67228"/>
    <w:rsid w:val="00A67A32"/>
    <w:rsid w:val="00A67F28"/>
    <w:rsid w:val="00A70E6F"/>
    <w:rsid w:val="00A714F6"/>
    <w:rsid w:val="00A71B29"/>
    <w:rsid w:val="00A72251"/>
    <w:rsid w:val="00A731F9"/>
    <w:rsid w:val="00A73689"/>
    <w:rsid w:val="00A73CE6"/>
    <w:rsid w:val="00A73DD6"/>
    <w:rsid w:val="00A747F3"/>
    <w:rsid w:val="00A75733"/>
    <w:rsid w:val="00A76755"/>
    <w:rsid w:val="00A77CA9"/>
    <w:rsid w:val="00A803F4"/>
    <w:rsid w:val="00A81A90"/>
    <w:rsid w:val="00A81ABE"/>
    <w:rsid w:val="00A82C99"/>
    <w:rsid w:val="00A83166"/>
    <w:rsid w:val="00A83623"/>
    <w:rsid w:val="00A8449C"/>
    <w:rsid w:val="00A84C3C"/>
    <w:rsid w:val="00A85140"/>
    <w:rsid w:val="00A86402"/>
    <w:rsid w:val="00A86E7E"/>
    <w:rsid w:val="00A879A6"/>
    <w:rsid w:val="00A87F4B"/>
    <w:rsid w:val="00A90586"/>
    <w:rsid w:val="00A909A3"/>
    <w:rsid w:val="00A90EA3"/>
    <w:rsid w:val="00A91871"/>
    <w:rsid w:val="00A91BD2"/>
    <w:rsid w:val="00A9289E"/>
    <w:rsid w:val="00A92ADF"/>
    <w:rsid w:val="00A9383B"/>
    <w:rsid w:val="00A940BE"/>
    <w:rsid w:val="00A95F66"/>
    <w:rsid w:val="00A96316"/>
    <w:rsid w:val="00A9658A"/>
    <w:rsid w:val="00A970ED"/>
    <w:rsid w:val="00A9798B"/>
    <w:rsid w:val="00AA0510"/>
    <w:rsid w:val="00AA18F6"/>
    <w:rsid w:val="00AA1B3F"/>
    <w:rsid w:val="00AA294E"/>
    <w:rsid w:val="00AA3461"/>
    <w:rsid w:val="00AA49F2"/>
    <w:rsid w:val="00AA5419"/>
    <w:rsid w:val="00AA553F"/>
    <w:rsid w:val="00AA644E"/>
    <w:rsid w:val="00AA7A06"/>
    <w:rsid w:val="00AB3B23"/>
    <w:rsid w:val="00AB3D33"/>
    <w:rsid w:val="00AB4795"/>
    <w:rsid w:val="00AB494A"/>
    <w:rsid w:val="00AB5659"/>
    <w:rsid w:val="00AB62F8"/>
    <w:rsid w:val="00AC1A7B"/>
    <w:rsid w:val="00AC1B27"/>
    <w:rsid w:val="00AC2D8D"/>
    <w:rsid w:val="00AC4183"/>
    <w:rsid w:val="00AC4C62"/>
    <w:rsid w:val="00AC60D4"/>
    <w:rsid w:val="00AC722E"/>
    <w:rsid w:val="00AC743C"/>
    <w:rsid w:val="00AD0BA3"/>
    <w:rsid w:val="00AD166D"/>
    <w:rsid w:val="00AD2DF0"/>
    <w:rsid w:val="00AD4A1E"/>
    <w:rsid w:val="00AD695A"/>
    <w:rsid w:val="00AD7301"/>
    <w:rsid w:val="00AD782F"/>
    <w:rsid w:val="00AE1A04"/>
    <w:rsid w:val="00AE39EE"/>
    <w:rsid w:val="00AE53E5"/>
    <w:rsid w:val="00AE708E"/>
    <w:rsid w:val="00AE7D86"/>
    <w:rsid w:val="00AF06A4"/>
    <w:rsid w:val="00AF1C4B"/>
    <w:rsid w:val="00AF3A27"/>
    <w:rsid w:val="00AF41B9"/>
    <w:rsid w:val="00AF4309"/>
    <w:rsid w:val="00AF6612"/>
    <w:rsid w:val="00AF7FD9"/>
    <w:rsid w:val="00B015A4"/>
    <w:rsid w:val="00B01A1B"/>
    <w:rsid w:val="00B02312"/>
    <w:rsid w:val="00B06264"/>
    <w:rsid w:val="00B100AF"/>
    <w:rsid w:val="00B10F0E"/>
    <w:rsid w:val="00B11999"/>
    <w:rsid w:val="00B129C3"/>
    <w:rsid w:val="00B12A14"/>
    <w:rsid w:val="00B14026"/>
    <w:rsid w:val="00B148CF"/>
    <w:rsid w:val="00B15521"/>
    <w:rsid w:val="00B15B56"/>
    <w:rsid w:val="00B17402"/>
    <w:rsid w:val="00B17D36"/>
    <w:rsid w:val="00B2059E"/>
    <w:rsid w:val="00B21762"/>
    <w:rsid w:val="00B22670"/>
    <w:rsid w:val="00B22F3A"/>
    <w:rsid w:val="00B23F64"/>
    <w:rsid w:val="00B2446F"/>
    <w:rsid w:val="00B24C1C"/>
    <w:rsid w:val="00B26D37"/>
    <w:rsid w:val="00B26DDC"/>
    <w:rsid w:val="00B30433"/>
    <w:rsid w:val="00B3095D"/>
    <w:rsid w:val="00B32830"/>
    <w:rsid w:val="00B335FF"/>
    <w:rsid w:val="00B34270"/>
    <w:rsid w:val="00B35F63"/>
    <w:rsid w:val="00B40EF9"/>
    <w:rsid w:val="00B417B7"/>
    <w:rsid w:val="00B41EA9"/>
    <w:rsid w:val="00B42FAF"/>
    <w:rsid w:val="00B435AA"/>
    <w:rsid w:val="00B43B26"/>
    <w:rsid w:val="00B45237"/>
    <w:rsid w:val="00B453E5"/>
    <w:rsid w:val="00B46E53"/>
    <w:rsid w:val="00B47174"/>
    <w:rsid w:val="00B473ED"/>
    <w:rsid w:val="00B47AC9"/>
    <w:rsid w:val="00B47BAD"/>
    <w:rsid w:val="00B47EAE"/>
    <w:rsid w:val="00B508E7"/>
    <w:rsid w:val="00B50FEA"/>
    <w:rsid w:val="00B51175"/>
    <w:rsid w:val="00B51419"/>
    <w:rsid w:val="00B51D35"/>
    <w:rsid w:val="00B51D99"/>
    <w:rsid w:val="00B53180"/>
    <w:rsid w:val="00B5397C"/>
    <w:rsid w:val="00B53B93"/>
    <w:rsid w:val="00B54C41"/>
    <w:rsid w:val="00B54FA9"/>
    <w:rsid w:val="00B57B0B"/>
    <w:rsid w:val="00B61FAB"/>
    <w:rsid w:val="00B62996"/>
    <w:rsid w:val="00B64308"/>
    <w:rsid w:val="00B6685B"/>
    <w:rsid w:val="00B66865"/>
    <w:rsid w:val="00B67A45"/>
    <w:rsid w:val="00B71F74"/>
    <w:rsid w:val="00B72F29"/>
    <w:rsid w:val="00B73C23"/>
    <w:rsid w:val="00B75685"/>
    <w:rsid w:val="00B76846"/>
    <w:rsid w:val="00B771FF"/>
    <w:rsid w:val="00B800B4"/>
    <w:rsid w:val="00B8125D"/>
    <w:rsid w:val="00B827B9"/>
    <w:rsid w:val="00B82C45"/>
    <w:rsid w:val="00B84473"/>
    <w:rsid w:val="00B84922"/>
    <w:rsid w:val="00B87B51"/>
    <w:rsid w:val="00B906C2"/>
    <w:rsid w:val="00B91571"/>
    <w:rsid w:val="00B91BDA"/>
    <w:rsid w:val="00B91EE2"/>
    <w:rsid w:val="00B935BB"/>
    <w:rsid w:val="00B9388B"/>
    <w:rsid w:val="00B93E44"/>
    <w:rsid w:val="00B96C47"/>
    <w:rsid w:val="00BA054F"/>
    <w:rsid w:val="00BA0680"/>
    <w:rsid w:val="00BA123B"/>
    <w:rsid w:val="00BA1707"/>
    <w:rsid w:val="00BA178F"/>
    <w:rsid w:val="00BA2F23"/>
    <w:rsid w:val="00BA3721"/>
    <w:rsid w:val="00BA3C2D"/>
    <w:rsid w:val="00BA4DE8"/>
    <w:rsid w:val="00BA6453"/>
    <w:rsid w:val="00BA6AC4"/>
    <w:rsid w:val="00BA7802"/>
    <w:rsid w:val="00BA7DD8"/>
    <w:rsid w:val="00BB059B"/>
    <w:rsid w:val="00BB249F"/>
    <w:rsid w:val="00BB327F"/>
    <w:rsid w:val="00BB3700"/>
    <w:rsid w:val="00BB49B7"/>
    <w:rsid w:val="00BB4B21"/>
    <w:rsid w:val="00BB7206"/>
    <w:rsid w:val="00BC16A9"/>
    <w:rsid w:val="00BC335A"/>
    <w:rsid w:val="00BC4132"/>
    <w:rsid w:val="00BC62E6"/>
    <w:rsid w:val="00BC68A3"/>
    <w:rsid w:val="00BC755B"/>
    <w:rsid w:val="00BD03D3"/>
    <w:rsid w:val="00BD1521"/>
    <w:rsid w:val="00BD19C4"/>
    <w:rsid w:val="00BD21E6"/>
    <w:rsid w:val="00BD2309"/>
    <w:rsid w:val="00BD2C5A"/>
    <w:rsid w:val="00BD30D6"/>
    <w:rsid w:val="00BD3546"/>
    <w:rsid w:val="00BD3746"/>
    <w:rsid w:val="00BD38CC"/>
    <w:rsid w:val="00BD3C26"/>
    <w:rsid w:val="00BD68B8"/>
    <w:rsid w:val="00BD7505"/>
    <w:rsid w:val="00BD7EA0"/>
    <w:rsid w:val="00BE2210"/>
    <w:rsid w:val="00BE32A0"/>
    <w:rsid w:val="00BE5A5F"/>
    <w:rsid w:val="00BE5AC7"/>
    <w:rsid w:val="00BE646E"/>
    <w:rsid w:val="00BE79B9"/>
    <w:rsid w:val="00BF2F24"/>
    <w:rsid w:val="00BF36D1"/>
    <w:rsid w:val="00BF3E58"/>
    <w:rsid w:val="00BF4A8E"/>
    <w:rsid w:val="00BF4C31"/>
    <w:rsid w:val="00BF64E9"/>
    <w:rsid w:val="00BF67EA"/>
    <w:rsid w:val="00BF73E4"/>
    <w:rsid w:val="00BF7400"/>
    <w:rsid w:val="00BF75D8"/>
    <w:rsid w:val="00C00080"/>
    <w:rsid w:val="00C0628D"/>
    <w:rsid w:val="00C06ADC"/>
    <w:rsid w:val="00C076AC"/>
    <w:rsid w:val="00C103C1"/>
    <w:rsid w:val="00C1165B"/>
    <w:rsid w:val="00C149F1"/>
    <w:rsid w:val="00C16FFE"/>
    <w:rsid w:val="00C17DAF"/>
    <w:rsid w:val="00C17F48"/>
    <w:rsid w:val="00C200F8"/>
    <w:rsid w:val="00C220F7"/>
    <w:rsid w:val="00C236AF"/>
    <w:rsid w:val="00C23C8C"/>
    <w:rsid w:val="00C23D80"/>
    <w:rsid w:val="00C24B10"/>
    <w:rsid w:val="00C25C42"/>
    <w:rsid w:val="00C26794"/>
    <w:rsid w:val="00C3042D"/>
    <w:rsid w:val="00C30DCD"/>
    <w:rsid w:val="00C3360C"/>
    <w:rsid w:val="00C346AC"/>
    <w:rsid w:val="00C3504B"/>
    <w:rsid w:val="00C35FB9"/>
    <w:rsid w:val="00C362B7"/>
    <w:rsid w:val="00C3693F"/>
    <w:rsid w:val="00C370B1"/>
    <w:rsid w:val="00C37A6A"/>
    <w:rsid w:val="00C403B5"/>
    <w:rsid w:val="00C4076B"/>
    <w:rsid w:val="00C40D67"/>
    <w:rsid w:val="00C42765"/>
    <w:rsid w:val="00C431E2"/>
    <w:rsid w:val="00C436B8"/>
    <w:rsid w:val="00C43ADF"/>
    <w:rsid w:val="00C443D7"/>
    <w:rsid w:val="00C447CB"/>
    <w:rsid w:val="00C44E78"/>
    <w:rsid w:val="00C4619F"/>
    <w:rsid w:val="00C46E19"/>
    <w:rsid w:val="00C53676"/>
    <w:rsid w:val="00C54470"/>
    <w:rsid w:val="00C571CF"/>
    <w:rsid w:val="00C57E0F"/>
    <w:rsid w:val="00C57F48"/>
    <w:rsid w:val="00C620FD"/>
    <w:rsid w:val="00C639E4"/>
    <w:rsid w:val="00C71CED"/>
    <w:rsid w:val="00C71E07"/>
    <w:rsid w:val="00C72042"/>
    <w:rsid w:val="00C73972"/>
    <w:rsid w:val="00C73B64"/>
    <w:rsid w:val="00C73CCE"/>
    <w:rsid w:val="00C73D55"/>
    <w:rsid w:val="00C74B7B"/>
    <w:rsid w:val="00C76601"/>
    <w:rsid w:val="00C778C6"/>
    <w:rsid w:val="00C80C62"/>
    <w:rsid w:val="00C81101"/>
    <w:rsid w:val="00C817DA"/>
    <w:rsid w:val="00C82A8A"/>
    <w:rsid w:val="00C82CE6"/>
    <w:rsid w:val="00C839B4"/>
    <w:rsid w:val="00C862C7"/>
    <w:rsid w:val="00C8634C"/>
    <w:rsid w:val="00C86FAA"/>
    <w:rsid w:val="00C91CF6"/>
    <w:rsid w:val="00C91D77"/>
    <w:rsid w:val="00C920EE"/>
    <w:rsid w:val="00C92105"/>
    <w:rsid w:val="00C92B5D"/>
    <w:rsid w:val="00C94808"/>
    <w:rsid w:val="00C94AD1"/>
    <w:rsid w:val="00C95DE9"/>
    <w:rsid w:val="00C96347"/>
    <w:rsid w:val="00CA168B"/>
    <w:rsid w:val="00CA4694"/>
    <w:rsid w:val="00CA5923"/>
    <w:rsid w:val="00CA5F63"/>
    <w:rsid w:val="00CB032B"/>
    <w:rsid w:val="00CB0554"/>
    <w:rsid w:val="00CB1CD3"/>
    <w:rsid w:val="00CB6407"/>
    <w:rsid w:val="00CC04A6"/>
    <w:rsid w:val="00CC1133"/>
    <w:rsid w:val="00CC1136"/>
    <w:rsid w:val="00CC1CFA"/>
    <w:rsid w:val="00CC5606"/>
    <w:rsid w:val="00CC6C10"/>
    <w:rsid w:val="00CD02A5"/>
    <w:rsid w:val="00CD2089"/>
    <w:rsid w:val="00CD2164"/>
    <w:rsid w:val="00CD3A84"/>
    <w:rsid w:val="00CD6481"/>
    <w:rsid w:val="00CD6CFD"/>
    <w:rsid w:val="00CD7BBE"/>
    <w:rsid w:val="00CD7F0B"/>
    <w:rsid w:val="00CE0363"/>
    <w:rsid w:val="00CE09FB"/>
    <w:rsid w:val="00CE0D8A"/>
    <w:rsid w:val="00CE2CAE"/>
    <w:rsid w:val="00CE4923"/>
    <w:rsid w:val="00CE60B6"/>
    <w:rsid w:val="00CE60F1"/>
    <w:rsid w:val="00CE6B51"/>
    <w:rsid w:val="00CF0915"/>
    <w:rsid w:val="00CF16B8"/>
    <w:rsid w:val="00CF1EA3"/>
    <w:rsid w:val="00CF284E"/>
    <w:rsid w:val="00CF2C14"/>
    <w:rsid w:val="00CF5601"/>
    <w:rsid w:val="00CF5A2D"/>
    <w:rsid w:val="00CF70FA"/>
    <w:rsid w:val="00CF775D"/>
    <w:rsid w:val="00D01CE6"/>
    <w:rsid w:val="00D044DC"/>
    <w:rsid w:val="00D05184"/>
    <w:rsid w:val="00D05359"/>
    <w:rsid w:val="00D05A02"/>
    <w:rsid w:val="00D05F40"/>
    <w:rsid w:val="00D06368"/>
    <w:rsid w:val="00D0725D"/>
    <w:rsid w:val="00D11664"/>
    <w:rsid w:val="00D11F38"/>
    <w:rsid w:val="00D11F49"/>
    <w:rsid w:val="00D139BE"/>
    <w:rsid w:val="00D13BD3"/>
    <w:rsid w:val="00D13CBE"/>
    <w:rsid w:val="00D14518"/>
    <w:rsid w:val="00D14D53"/>
    <w:rsid w:val="00D15FEC"/>
    <w:rsid w:val="00D1659E"/>
    <w:rsid w:val="00D168B8"/>
    <w:rsid w:val="00D16E6F"/>
    <w:rsid w:val="00D17467"/>
    <w:rsid w:val="00D17A66"/>
    <w:rsid w:val="00D20212"/>
    <w:rsid w:val="00D2150F"/>
    <w:rsid w:val="00D215DF"/>
    <w:rsid w:val="00D21FE0"/>
    <w:rsid w:val="00D240AF"/>
    <w:rsid w:val="00D248A2"/>
    <w:rsid w:val="00D252C4"/>
    <w:rsid w:val="00D25F7D"/>
    <w:rsid w:val="00D26886"/>
    <w:rsid w:val="00D27826"/>
    <w:rsid w:val="00D278D4"/>
    <w:rsid w:val="00D32087"/>
    <w:rsid w:val="00D33B06"/>
    <w:rsid w:val="00D33E3B"/>
    <w:rsid w:val="00D35079"/>
    <w:rsid w:val="00D362AD"/>
    <w:rsid w:val="00D3674E"/>
    <w:rsid w:val="00D37614"/>
    <w:rsid w:val="00D37849"/>
    <w:rsid w:val="00D40B85"/>
    <w:rsid w:val="00D40EEC"/>
    <w:rsid w:val="00D41167"/>
    <w:rsid w:val="00D4171B"/>
    <w:rsid w:val="00D42955"/>
    <w:rsid w:val="00D42B81"/>
    <w:rsid w:val="00D44CAF"/>
    <w:rsid w:val="00D5001F"/>
    <w:rsid w:val="00D50126"/>
    <w:rsid w:val="00D535AC"/>
    <w:rsid w:val="00D53681"/>
    <w:rsid w:val="00D555C7"/>
    <w:rsid w:val="00D566F4"/>
    <w:rsid w:val="00D57C84"/>
    <w:rsid w:val="00D60855"/>
    <w:rsid w:val="00D621F5"/>
    <w:rsid w:val="00D65F66"/>
    <w:rsid w:val="00D663C1"/>
    <w:rsid w:val="00D67AEA"/>
    <w:rsid w:val="00D70888"/>
    <w:rsid w:val="00D74477"/>
    <w:rsid w:val="00D74A62"/>
    <w:rsid w:val="00D76016"/>
    <w:rsid w:val="00D766A6"/>
    <w:rsid w:val="00D76BE1"/>
    <w:rsid w:val="00D76C0E"/>
    <w:rsid w:val="00D80D20"/>
    <w:rsid w:val="00D819C6"/>
    <w:rsid w:val="00D81F86"/>
    <w:rsid w:val="00D81FAB"/>
    <w:rsid w:val="00D82F91"/>
    <w:rsid w:val="00D83D46"/>
    <w:rsid w:val="00D874A2"/>
    <w:rsid w:val="00D87CF5"/>
    <w:rsid w:val="00D903EA"/>
    <w:rsid w:val="00D91004"/>
    <w:rsid w:val="00D92710"/>
    <w:rsid w:val="00D931C0"/>
    <w:rsid w:val="00D94F8E"/>
    <w:rsid w:val="00D9515A"/>
    <w:rsid w:val="00D955CC"/>
    <w:rsid w:val="00D96FD3"/>
    <w:rsid w:val="00D97AAA"/>
    <w:rsid w:val="00DA0683"/>
    <w:rsid w:val="00DA16B7"/>
    <w:rsid w:val="00DA17AC"/>
    <w:rsid w:val="00DA2BEC"/>
    <w:rsid w:val="00DA30DF"/>
    <w:rsid w:val="00DA4483"/>
    <w:rsid w:val="00DA4DB0"/>
    <w:rsid w:val="00DB1000"/>
    <w:rsid w:val="00DB1BCE"/>
    <w:rsid w:val="00DB5761"/>
    <w:rsid w:val="00DC075C"/>
    <w:rsid w:val="00DC0D50"/>
    <w:rsid w:val="00DC15D0"/>
    <w:rsid w:val="00DC1D68"/>
    <w:rsid w:val="00DC2156"/>
    <w:rsid w:val="00DC6FBB"/>
    <w:rsid w:val="00DD0A8C"/>
    <w:rsid w:val="00DD199A"/>
    <w:rsid w:val="00DD21D3"/>
    <w:rsid w:val="00DD384F"/>
    <w:rsid w:val="00DD3D3C"/>
    <w:rsid w:val="00DD4E40"/>
    <w:rsid w:val="00DD5D38"/>
    <w:rsid w:val="00DE05FE"/>
    <w:rsid w:val="00DE1418"/>
    <w:rsid w:val="00DE227A"/>
    <w:rsid w:val="00DE2889"/>
    <w:rsid w:val="00DE4E85"/>
    <w:rsid w:val="00DE5EE8"/>
    <w:rsid w:val="00DE74EC"/>
    <w:rsid w:val="00DE7DB2"/>
    <w:rsid w:val="00DF02E1"/>
    <w:rsid w:val="00DF0B01"/>
    <w:rsid w:val="00DF0E73"/>
    <w:rsid w:val="00DF2F83"/>
    <w:rsid w:val="00DF5172"/>
    <w:rsid w:val="00DF55DD"/>
    <w:rsid w:val="00DF56B6"/>
    <w:rsid w:val="00DF5A46"/>
    <w:rsid w:val="00DF7D4A"/>
    <w:rsid w:val="00E0031E"/>
    <w:rsid w:val="00E0245D"/>
    <w:rsid w:val="00E02738"/>
    <w:rsid w:val="00E02DEA"/>
    <w:rsid w:val="00E051B1"/>
    <w:rsid w:val="00E0570E"/>
    <w:rsid w:val="00E05844"/>
    <w:rsid w:val="00E075A5"/>
    <w:rsid w:val="00E10B5B"/>
    <w:rsid w:val="00E11105"/>
    <w:rsid w:val="00E11DBF"/>
    <w:rsid w:val="00E13C1A"/>
    <w:rsid w:val="00E14069"/>
    <w:rsid w:val="00E145D6"/>
    <w:rsid w:val="00E15040"/>
    <w:rsid w:val="00E16645"/>
    <w:rsid w:val="00E16939"/>
    <w:rsid w:val="00E1766A"/>
    <w:rsid w:val="00E22830"/>
    <w:rsid w:val="00E232CD"/>
    <w:rsid w:val="00E267E6"/>
    <w:rsid w:val="00E322A4"/>
    <w:rsid w:val="00E32393"/>
    <w:rsid w:val="00E33753"/>
    <w:rsid w:val="00E34501"/>
    <w:rsid w:val="00E345DF"/>
    <w:rsid w:val="00E35B8F"/>
    <w:rsid w:val="00E36ED2"/>
    <w:rsid w:val="00E373D3"/>
    <w:rsid w:val="00E37A0F"/>
    <w:rsid w:val="00E37FF2"/>
    <w:rsid w:val="00E40078"/>
    <w:rsid w:val="00E4146F"/>
    <w:rsid w:val="00E4461B"/>
    <w:rsid w:val="00E4520C"/>
    <w:rsid w:val="00E46DC8"/>
    <w:rsid w:val="00E50138"/>
    <w:rsid w:val="00E5183F"/>
    <w:rsid w:val="00E537A9"/>
    <w:rsid w:val="00E5767D"/>
    <w:rsid w:val="00E602A8"/>
    <w:rsid w:val="00E61211"/>
    <w:rsid w:val="00E61F06"/>
    <w:rsid w:val="00E6227A"/>
    <w:rsid w:val="00E62B01"/>
    <w:rsid w:val="00E63663"/>
    <w:rsid w:val="00E64540"/>
    <w:rsid w:val="00E64B67"/>
    <w:rsid w:val="00E65896"/>
    <w:rsid w:val="00E65DF6"/>
    <w:rsid w:val="00E661A5"/>
    <w:rsid w:val="00E669CD"/>
    <w:rsid w:val="00E70894"/>
    <w:rsid w:val="00E709CC"/>
    <w:rsid w:val="00E70A2C"/>
    <w:rsid w:val="00E72EEA"/>
    <w:rsid w:val="00E7404B"/>
    <w:rsid w:val="00E7404E"/>
    <w:rsid w:val="00E74C02"/>
    <w:rsid w:val="00E81A92"/>
    <w:rsid w:val="00E83614"/>
    <w:rsid w:val="00E83A1D"/>
    <w:rsid w:val="00E847A7"/>
    <w:rsid w:val="00E85FF2"/>
    <w:rsid w:val="00E861B9"/>
    <w:rsid w:val="00E86CBA"/>
    <w:rsid w:val="00E90E39"/>
    <w:rsid w:val="00E9188A"/>
    <w:rsid w:val="00E919DE"/>
    <w:rsid w:val="00E93C25"/>
    <w:rsid w:val="00E94F4B"/>
    <w:rsid w:val="00E95111"/>
    <w:rsid w:val="00E96422"/>
    <w:rsid w:val="00EA12A1"/>
    <w:rsid w:val="00EA2142"/>
    <w:rsid w:val="00EA2248"/>
    <w:rsid w:val="00EA4B43"/>
    <w:rsid w:val="00EA5100"/>
    <w:rsid w:val="00EA5D68"/>
    <w:rsid w:val="00EA5D8D"/>
    <w:rsid w:val="00EB13FA"/>
    <w:rsid w:val="00EB1557"/>
    <w:rsid w:val="00EB2048"/>
    <w:rsid w:val="00EB5F25"/>
    <w:rsid w:val="00EB6E24"/>
    <w:rsid w:val="00EC131C"/>
    <w:rsid w:val="00EC1719"/>
    <w:rsid w:val="00EC2A56"/>
    <w:rsid w:val="00EC4652"/>
    <w:rsid w:val="00EC69F4"/>
    <w:rsid w:val="00EC6DA7"/>
    <w:rsid w:val="00ED035C"/>
    <w:rsid w:val="00ED0797"/>
    <w:rsid w:val="00ED23D3"/>
    <w:rsid w:val="00ED2783"/>
    <w:rsid w:val="00ED3522"/>
    <w:rsid w:val="00ED4A6B"/>
    <w:rsid w:val="00ED4F90"/>
    <w:rsid w:val="00ED5955"/>
    <w:rsid w:val="00ED7806"/>
    <w:rsid w:val="00EE19F4"/>
    <w:rsid w:val="00EE2720"/>
    <w:rsid w:val="00EE27DF"/>
    <w:rsid w:val="00EE2D23"/>
    <w:rsid w:val="00EE39AA"/>
    <w:rsid w:val="00EE4496"/>
    <w:rsid w:val="00EE570F"/>
    <w:rsid w:val="00EE5F89"/>
    <w:rsid w:val="00EE72A5"/>
    <w:rsid w:val="00EE7991"/>
    <w:rsid w:val="00EF017E"/>
    <w:rsid w:val="00EF0277"/>
    <w:rsid w:val="00EF1B2D"/>
    <w:rsid w:val="00EF47AA"/>
    <w:rsid w:val="00EF4D28"/>
    <w:rsid w:val="00EF6A57"/>
    <w:rsid w:val="00F01514"/>
    <w:rsid w:val="00F0196A"/>
    <w:rsid w:val="00F02D51"/>
    <w:rsid w:val="00F02EC0"/>
    <w:rsid w:val="00F042F0"/>
    <w:rsid w:val="00F05623"/>
    <w:rsid w:val="00F06E75"/>
    <w:rsid w:val="00F0724E"/>
    <w:rsid w:val="00F07B2D"/>
    <w:rsid w:val="00F107AE"/>
    <w:rsid w:val="00F10C25"/>
    <w:rsid w:val="00F12A4E"/>
    <w:rsid w:val="00F12DDA"/>
    <w:rsid w:val="00F14B9B"/>
    <w:rsid w:val="00F1706C"/>
    <w:rsid w:val="00F172EE"/>
    <w:rsid w:val="00F17BC1"/>
    <w:rsid w:val="00F22FC2"/>
    <w:rsid w:val="00F248B6"/>
    <w:rsid w:val="00F31637"/>
    <w:rsid w:val="00F319CF"/>
    <w:rsid w:val="00F33B9F"/>
    <w:rsid w:val="00F40416"/>
    <w:rsid w:val="00F40982"/>
    <w:rsid w:val="00F41932"/>
    <w:rsid w:val="00F41BBE"/>
    <w:rsid w:val="00F41FCB"/>
    <w:rsid w:val="00F420AF"/>
    <w:rsid w:val="00F44C22"/>
    <w:rsid w:val="00F44FB0"/>
    <w:rsid w:val="00F4789A"/>
    <w:rsid w:val="00F47B30"/>
    <w:rsid w:val="00F51116"/>
    <w:rsid w:val="00F51C00"/>
    <w:rsid w:val="00F51FDE"/>
    <w:rsid w:val="00F52651"/>
    <w:rsid w:val="00F526D0"/>
    <w:rsid w:val="00F52CB5"/>
    <w:rsid w:val="00F52DDF"/>
    <w:rsid w:val="00F54281"/>
    <w:rsid w:val="00F54516"/>
    <w:rsid w:val="00F551F9"/>
    <w:rsid w:val="00F569FC"/>
    <w:rsid w:val="00F6040B"/>
    <w:rsid w:val="00F60C43"/>
    <w:rsid w:val="00F60DA7"/>
    <w:rsid w:val="00F61364"/>
    <w:rsid w:val="00F614C4"/>
    <w:rsid w:val="00F61E2F"/>
    <w:rsid w:val="00F62A34"/>
    <w:rsid w:val="00F63B4A"/>
    <w:rsid w:val="00F643F2"/>
    <w:rsid w:val="00F66631"/>
    <w:rsid w:val="00F70809"/>
    <w:rsid w:val="00F713C0"/>
    <w:rsid w:val="00F7256C"/>
    <w:rsid w:val="00F75A59"/>
    <w:rsid w:val="00F75DFC"/>
    <w:rsid w:val="00F76383"/>
    <w:rsid w:val="00F7649D"/>
    <w:rsid w:val="00F7650A"/>
    <w:rsid w:val="00F76D8C"/>
    <w:rsid w:val="00F77190"/>
    <w:rsid w:val="00F77EC0"/>
    <w:rsid w:val="00F80654"/>
    <w:rsid w:val="00F81A06"/>
    <w:rsid w:val="00F8399D"/>
    <w:rsid w:val="00F84160"/>
    <w:rsid w:val="00F852FB"/>
    <w:rsid w:val="00F85848"/>
    <w:rsid w:val="00F8593C"/>
    <w:rsid w:val="00F86BFB"/>
    <w:rsid w:val="00F9089F"/>
    <w:rsid w:val="00F914CC"/>
    <w:rsid w:val="00F916D7"/>
    <w:rsid w:val="00F92034"/>
    <w:rsid w:val="00F9245F"/>
    <w:rsid w:val="00F95DDF"/>
    <w:rsid w:val="00F96108"/>
    <w:rsid w:val="00F971B9"/>
    <w:rsid w:val="00F972C7"/>
    <w:rsid w:val="00F97385"/>
    <w:rsid w:val="00F97E06"/>
    <w:rsid w:val="00FA3D9C"/>
    <w:rsid w:val="00FA529A"/>
    <w:rsid w:val="00FA57C0"/>
    <w:rsid w:val="00FA61BE"/>
    <w:rsid w:val="00FA6574"/>
    <w:rsid w:val="00FA6617"/>
    <w:rsid w:val="00FA70A7"/>
    <w:rsid w:val="00FB26CD"/>
    <w:rsid w:val="00FB3383"/>
    <w:rsid w:val="00FB4A15"/>
    <w:rsid w:val="00FB5337"/>
    <w:rsid w:val="00FB572C"/>
    <w:rsid w:val="00FB5CD2"/>
    <w:rsid w:val="00FB672F"/>
    <w:rsid w:val="00FB6B91"/>
    <w:rsid w:val="00FB6F63"/>
    <w:rsid w:val="00FB7AEB"/>
    <w:rsid w:val="00FC052F"/>
    <w:rsid w:val="00FC124E"/>
    <w:rsid w:val="00FC2874"/>
    <w:rsid w:val="00FC2E34"/>
    <w:rsid w:val="00FC2EE8"/>
    <w:rsid w:val="00FC303E"/>
    <w:rsid w:val="00FC35E5"/>
    <w:rsid w:val="00FC5FD6"/>
    <w:rsid w:val="00FC71DB"/>
    <w:rsid w:val="00FC7805"/>
    <w:rsid w:val="00FD001C"/>
    <w:rsid w:val="00FD06DF"/>
    <w:rsid w:val="00FD0B4D"/>
    <w:rsid w:val="00FD0CE0"/>
    <w:rsid w:val="00FD1A22"/>
    <w:rsid w:val="00FD37FF"/>
    <w:rsid w:val="00FE048E"/>
    <w:rsid w:val="00FE1591"/>
    <w:rsid w:val="00FE1664"/>
    <w:rsid w:val="00FE180A"/>
    <w:rsid w:val="00FE316C"/>
    <w:rsid w:val="00FE4D66"/>
    <w:rsid w:val="00FE5E03"/>
    <w:rsid w:val="00FE5E4A"/>
    <w:rsid w:val="00FE6681"/>
    <w:rsid w:val="00FE7789"/>
    <w:rsid w:val="00FF09BF"/>
    <w:rsid w:val="00FF0E93"/>
    <w:rsid w:val="00FF21F4"/>
    <w:rsid w:val="00FF3547"/>
    <w:rsid w:val="00FF4459"/>
    <w:rsid w:val="00FF48E5"/>
    <w:rsid w:val="00FF5039"/>
    <w:rsid w:val="00FF6829"/>
    <w:rsid w:val="00FF724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28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773"/>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777773"/>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777773"/>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777773"/>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777773"/>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777773"/>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777773"/>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777773"/>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77777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777773"/>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7773"/>
    <w:pPr>
      <w:tabs>
        <w:tab w:val="center" w:pos="4320"/>
        <w:tab w:val="right" w:pos="8640"/>
      </w:tabs>
    </w:pPr>
  </w:style>
  <w:style w:type="character" w:customStyle="1" w:styleId="HeaderChar">
    <w:name w:val="Header Char"/>
    <w:basedOn w:val="DefaultParagraphFont"/>
    <w:link w:val="Header"/>
    <w:rsid w:val="00777773"/>
    <w:rPr>
      <w:rFonts w:ascii="Calibri Light" w:eastAsia="Times New Roman" w:hAnsi="Calibri Light"/>
      <w:sz w:val="22"/>
      <w:lang w:eastAsia="en-AU"/>
    </w:rPr>
  </w:style>
  <w:style w:type="paragraph" w:styleId="Footer">
    <w:name w:val="footer"/>
    <w:basedOn w:val="Normal"/>
    <w:link w:val="FooterChar"/>
    <w:uiPriority w:val="99"/>
    <w:rsid w:val="00777773"/>
    <w:pPr>
      <w:tabs>
        <w:tab w:val="center" w:pos="4320"/>
        <w:tab w:val="right" w:pos="8640"/>
      </w:tabs>
    </w:pPr>
    <w:rPr>
      <w:sz w:val="20"/>
    </w:rPr>
  </w:style>
  <w:style w:type="character" w:customStyle="1" w:styleId="FooterChar">
    <w:name w:val="Footer Char"/>
    <w:basedOn w:val="DefaultParagraphFont"/>
    <w:link w:val="Footer"/>
    <w:uiPriority w:val="99"/>
    <w:rsid w:val="00777773"/>
    <w:rPr>
      <w:rFonts w:ascii="Calibri Light" w:eastAsia="Times New Roman" w:hAnsi="Calibri Light"/>
      <w:lang w:eastAsia="en-AU"/>
    </w:rPr>
  </w:style>
  <w:style w:type="paragraph" w:customStyle="1" w:styleId="Factsheettitle">
    <w:name w:val="Fact sheet title"/>
    <w:basedOn w:val="Normal"/>
    <w:qFormat/>
    <w:rsid w:val="00777773"/>
    <w:pPr>
      <w:spacing w:after="60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777773"/>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777773"/>
    <w:pPr>
      <w:numPr>
        <w:ilvl w:val="1"/>
        <w:numId w:val="9"/>
      </w:numPr>
      <w:tabs>
        <w:tab w:val="clear" w:pos="567"/>
      </w:tabs>
      <w:spacing w:before="0"/>
      <w:ind w:left="397" w:hanging="170"/>
    </w:pPr>
  </w:style>
  <w:style w:type="character" w:customStyle="1" w:styleId="DashChar">
    <w:name w:val="Dash Char"/>
    <w:basedOn w:val="DefaultParagraphFont"/>
    <w:link w:val="Dash"/>
    <w:rsid w:val="00777773"/>
    <w:rPr>
      <w:rFonts w:ascii="Calibri Light" w:eastAsia="Times New Roman" w:hAnsi="Calibri Light"/>
      <w:sz w:val="22"/>
      <w:lang w:eastAsia="en-AU"/>
    </w:rPr>
  </w:style>
  <w:style w:type="paragraph" w:customStyle="1" w:styleId="DoubleDot">
    <w:name w:val="Double Dot"/>
    <w:basedOn w:val="Normal"/>
    <w:link w:val="DoubleDotChar"/>
    <w:qFormat/>
    <w:rsid w:val="00777773"/>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777773"/>
    <w:rPr>
      <w:rFonts w:ascii="Calibri Light" w:eastAsia="Times New Roman" w:hAnsi="Calibri Light"/>
      <w:sz w:val="22"/>
      <w:lang w:eastAsia="en-AU"/>
    </w:rPr>
  </w:style>
  <w:style w:type="paragraph" w:styleId="BalloonText">
    <w:name w:val="Balloon Text"/>
    <w:basedOn w:val="Normal"/>
    <w:link w:val="BalloonTextChar"/>
    <w:semiHidden/>
    <w:rsid w:val="00777773"/>
    <w:rPr>
      <w:rFonts w:ascii="Tahoma" w:hAnsi="Tahoma" w:cs="Tahoma"/>
      <w:sz w:val="16"/>
      <w:szCs w:val="16"/>
    </w:rPr>
  </w:style>
  <w:style w:type="character" w:customStyle="1" w:styleId="BalloonTextChar">
    <w:name w:val="Balloon Text Char"/>
    <w:basedOn w:val="DefaultParagraphFont"/>
    <w:link w:val="BalloonText"/>
    <w:semiHidden/>
    <w:rsid w:val="00777773"/>
    <w:rPr>
      <w:rFonts w:ascii="Tahoma" w:eastAsia="Times New Roman" w:hAnsi="Tahoma" w:cs="Tahoma"/>
      <w:sz w:val="16"/>
      <w:szCs w:val="16"/>
      <w:lang w:eastAsia="en-AU"/>
    </w:rPr>
  </w:style>
  <w:style w:type="character" w:customStyle="1" w:styleId="Heading2Char">
    <w:name w:val="Heading 2 Char"/>
    <w:basedOn w:val="DefaultParagraphFont"/>
    <w:link w:val="Heading2"/>
    <w:rsid w:val="00777773"/>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777773"/>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777773"/>
    <w:rPr>
      <w:rFonts w:ascii="Calibri Light" w:eastAsia="Times New Roman" w:hAnsi="Calibri Light" w:cs="Arial"/>
      <w:color w:val="4D7861" w:themeColor="accent2"/>
      <w:kern w:val="32"/>
      <w:sz w:val="22"/>
      <w:szCs w:val="26"/>
      <w:lang w:eastAsia="en-AU"/>
    </w:rPr>
  </w:style>
  <w:style w:type="table" w:styleId="TableGrid">
    <w:name w:val="Table Grid"/>
    <w:basedOn w:val="TableNormal"/>
    <w:uiPriority w:val="59"/>
    <w:rsid w:val="00777773"/>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77773"/>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777773"/>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777773"/>
    <w:rPr>
      <w:color w:val="5D779D" w:themeColor="accent3"/>
      <w:u w:val="single"/>
    </w:rPr>
  </w:style>
  <w:style w:type="character" w:styleId="FollowedHyperlink">
    <w:name w:val="FollowedHyperlink"/>
    <w:basedOn w:val="DefaultParagraphFont"/>
    <w:semiHidden/>
    <w:unhideWhenUsed/>
    <w:rsid w:val="00777773"/>
    <w:rPr>
      <w:color w:val="844D9E" w:themeColor="followedHyperlink"/>
      <w:u w:val="single"/>
    </w:rPr>
  </w:style>
  <w:style w:type="paragraph" w:styleId="Revision">
    <w:name w:val="Revision"/>
    <w:hidden/>
    <w:uiPriority w:val="99"/>
    <w:semiHidden/>
    <w:rsid w:val="00777773"/>
    <w:rPr>
      <w:rFonts w:ascii="Calibri Light" w:hAnsi="Calibri Light"/>
      <w:color w:val="0D0D0D" w:themeColor="text1" w:themeTint="F2"/>
      <w:sz w:val="22"/>
    </w:rPr>
  </w:style>
  <w:style w:type="character" w:styleId="PlaceholderText">
    <w:name w:val="Placeholder Text"/>
    <w:basedOn w:val="DefaultParagraphFont"/>
    <w:uiPriority w:val="99"/>
    <w:semiHidden/>
    <w:rsid w:val="00777773"/>
    <w:rPr>
      <w:color w:val="808080"/>
    </w:rPr>
  </w:style>
  <w:style w:type="character" w:customStyle="1" w:styleId="Heading5Char">
    <w:name w:val="Heading 5 Char"/>
    <w:basedOn w:val="DefaultParagraphFont"/>
    <w:link w:val="Heading5"/>
    <w:rsid w:val="00777773"/>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777773"/>
    <w:pPr>
      <w:keepNext/>
      <w:spacing w:before="240"/>
    </w:pPr>
    <w:rPr>
      <w:b/>
      <w:color w:val="2C384A" w:themeColor="accent1"/>
      <w:sz w:val="26"/>
      <w:szCs w:val="26"/>
    </w:rPr>
  </w:style>
  <w:style w:type="paragraph" w:customStyle="1" w:styleId="BoxText">
    <w:name w:val="Box Text"/>
    <w:basedOn w:val="Normal"/>
    <w:link w:val="BoxTextChar"/>
    <w:rsid w:val="00777773"/>
    <w:pPr>
      <w:spacing w:before="60" w:after="60"/>
    </w:pPr>
  </w:style>
  <w:style w:type="paragraph" w:customStyle="1" w:styleId="Bullet">
    <w:name w:val="Bullet"/>
    <w:aliases w:val="Body,Bullet + line,b,b + line,b1,level 1"/>
    <w:basedOn w:val="Normal"/>
    <w:link w:val="BulletChar"/>
    <w:qFormat/>
    <w:rsid w:val="00777773"/>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777773"/>
    <w:rPr>
      <w:rFonts w:ascii="Calibri Light" w:eastAsia="Times New Roman" w:hAnsi="Calibri Light"/>
      <w:sz w:val="22"/>
      <w:lang w:eastAsia="en-AU"/>
    </w:rPr>
  </w:style>
  <w:style w:type="character" w:customStyle="1" w:styleId="BulletChar">
    <w:name w:val="Bullet Char"/>
    <w:aliases w:val="b + line Char Char,b Char,b Char Char"/>
    <w:basedOn w:val="DefaultParagraphFont"/>
    <w:link w:val="Bullet"/>
    <w:rsid w:val="00777773"/>
    <w:rPr>
      <w:rFonts w:ascii="Calibri Light" w:eastAsia="Times New Roman" w:hAnsi="Calibri Light"/>
      <w:sz w:val="22"/>
      <w:lang w:eastAsia="en-AU"/>
    </w:rPr>
  </w:style>
  <w:style w:type="paragraph" w:customStyle="1" w:styleId="Boxbullet">
    <w:name w:val="Box bullet"/>
    <w:basedOn w:val="Bullet"/>
    <w:rsid w:val="00777773"/>
    <w:pPr>
      <w:spacing w:after="60"/>
    </w:pPr>
    <w:rPr>
      <w:color w:val="0D0D0D" w:themeColor="text1" w:themeTint="F2"/>
    </w:rPr>
  </w:style>
  <w:style w:type="paragraph" w:customStyle="1" w:styleId="Boxdash">
    <w:name w:val="Box dash"/>
    <w:basedOn w:val="Dash"/>
    <w:rsid w:val="00777773"/>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777773"/>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777773"/>
    <w:rPr>
      <w:rFonts w:asciiTheme="majorHAnsi" w:eastAsiaTheme="majorEastAsia" w:hAnsiTheme="majorHAnsi" w:cstheme="majorBidi"/>
      <w:iCs/>
      <w:color w:val="272727" w:themeColor="text1" w:themeTint="D8"/>
      <w:sz w:val="21"/>
      <w:szCs w:val="21"/>
      <w:lang w:eastAsia="en-AU"/>
    </w:rPr>
  </w:style>
  <w:style w:type="character" w:customStyle="1" w:styleId="Heading8Char">
    <w:name w:val="Heading 8 Char"/>
    <w:basedOn w:val="DefaultParagraphFont"/>
    <w:link w:val="Heading8"/>
    <w:uiPriority w:val="9"/>
    <w:rsid w:val="00777773"/>
    <w:rPr>
      <w:rFonts w:asciiTheme="majorHAnsi" w:eastAsiaTheme="majorEastAsia" w:hAnsiTheme="majorHAnsi" w:cstheme="majorBidi"/>
      <w:color w:val="272727" w:themeColor="text1" w:themeTint="D8"/>
      <w:sz w:val="21"/>
      <w:szCs w:val="21"/>
      <w:lang w:eastAsia="en-AU"/>
    </w:rPr>
  </w:style>
  <w:style w:type="character" w:customStyle="1" w:styleId="Heading6Char">
    <w:name w:val="Heading 6 Char"/>
    <w:basedOn w:val="DefaultParagraphFont"/>
    <w:link w:val="Heading6"/>
    <w:rsid w:val="00777773"/>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777773"/>
    <w:rPr>
      <w:rFonts w:asciiTheme="majorHAnsi" w:eastAsiaTheme="majorEastAsia" w:hAnsiTheme="majorHAnsi" w:cstheme="majorBidi"/>
      <w:iCs/>
      <w:color w:val="161B24" w:themeColor="accent1" w:themeShade="7F"/>
      <w:sz w:val="22"/>
      <w:lang w:eastAsia="en-AU"/>
    </w:rPr>
  </w:style>
  <w:style w:type="paragraph" w:styleId="NoSpacing">
    <w:name w:val="No Spacing"/>
    <w:link w:val="NoSpacingChar"/>
    <w:uiPriority w:val="1"/>
    <w:qFormat/>
    <w:rsid w:val="00777773"/>
    <w:rPr>
      <w:rFonts w:asciiTheme="minorHAnsi" w:eastAsiaTheme="minorEastAsia" w:hAnsiTheme="minorHAnsi" w:cstheme="minorBidi"/>
      <w:sz w:val="22"/>
      <w:szCs w:val="22"/>
      <w:lang w:val="en-US"/>
    </w:rPr>
  </w:style>
  <w:style w:type="paragraph" w:customStyle="1" w:styleId="Default">
    <w:name w:val="Default"/>
    <w:rsid w:val="00777773"/>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777773"/>
    <w:rPr>
      <w:vertAlign w:val="superscript"/>
    </w:rPr>
  </w:style>
  <w:style w:type="paragraph" w:styleId="FootnoteText">
    <w:name w:val="footnote text"/>
    <w:basedOn w:val="Normal"/>
    <w:link w:val="FootnoteTextChar"/>
    <w:rsid w:val="00777773"/>
    <w:pPr>
      <w:spacing w:after="0"/>
    </w:pPr>
    <w:rPr>
      <w:sz w:val="20"/>
    </w:rPr>
  </w:style>
  <w:style w:type="character" w:customStyle="1" w:styleId="FootnoteTextChar">
    <w:name w:val="Footnote Text Char"/>
    <w:basedOn w:val="DefaultParagraphFont"/>
    <w:link w:val="FootnoteText"/>
    <w:rsid w:val="00777773"/>
    <w:rPr>
      <w:rFonts w:ascii="Calibri Light" w:eastAsia="Times New Roman" w:hAnsi="Calibri Light"/>
      <w:lang w:eastAsia="en-AU"/>
    </w:rPr>
  </w:style>
  <w:style w:type="table" w:customStyle="1" w:styleId="GridTable5Dark-Accent61">
    <w:name w:val="Grid Table 5 Dark - Accent 61"/>
    <w:basedOn w:val="TableNormal"/>
    <w:uiPriority w:val="50"/>
    <w:rsid w:val="00777773"/>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777773"/>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777773"/>
    <w:pPr>
      <w:ind w:left="720"/>
      <w:contextualSpacing/>
    </w:pPr>
  </w:style>
  <w:style w:type="character" w:customStyle="1" w:styleId="ListParagraphChar">
    <w:name w:val="List Paragraph Char"/>
    <w:basedOn w:val="DefaultParagraphFont"/>
    <w:link w:val="ListParagraph"/>
    <w:uiPriority w:val="34"/>
    <w:rsid w:val="00777773"/>
    <w:rPr>
      <w:rFonts w:ascii="Calibri Light" w:eastAsia="Times New Roman" w:hAnsi="Calibri Light"/>
      <w:sz w:val="22"/>
      <w:lang w:eastAsia="en-AU"/>
    </w:rPr>
  </w:style>
  <w:style w:type="table" w:customStyle="1" w:styleId="ListTable4-Accent61">
    <w:name w:val="List Table 4 - Accent 61"/>
    <w:basedOn w:val="TableNormal"/>
    <w:uiPriority w:val="49"/>
    <w:rsid w:val="00777773"/>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777773"/>
    <w:rPr>
      <w:rFonts w:asciiTheme="minorHAnsi" w:eastAsiaTheme="minorEastAsia" w:hAnsiTheme="minorHAnsi" w:cstheme="minorBidi"/>
      <w:sz w:val="22"/>
      <w:szCs w:val="22"/>
      <w:lang w:val="en-US"/>
    </w:rPr>
  </w:style>
  <w:style w:type="paragraph" w:styleId="NormalWeb">
    <w:name w:val="Normal (Web)"/>
    <w:basedOn w:val="Normal"/>
    <w:rsid w:val="00777773"/>
    <w:pPr>
      <w:spacing w:before="100" w:beforeAutospacing="1" w:after="100" w:afterAutospacing="1"/>
    </w:pPr>
  </w:style>
  <w:style w:type="character" w:styleId="PageNumber">
    <w:name w:val="page number"/>
    <w:basedOn w:val="DefaultParagraphFont"/>
    <w:rsid w:val="00777773"/>
  </w:style>
  <w:style w:type="numbering" w:customStyle="1" w:styleId="StyleBulletedSymbolsymbol11ptLeft4cmHanging05">
    <w:name w:val="Style Bulleted Symbol (symbol) 11 pt Left:  4 cm Hanging:  0.5 ..."/>
    <w:basedOn w:val="NoList"/>
    <w:rsid w:val="00777773"/>
    <w:pPr>
      <w:numPr>
        <w:numId w:val="1"/>
      </w:numPr>
    </w:pPr>
  </w:style>
  <w:style w:type="numbering" w:customStyle="1" w:styleId="StyleBulletedSymbolsymbol11ptLeft4cmHanging051">
    <w:name w:val="Style Bulleted Symbol (symbol) 11 pt Left:  4 cm Hanging:  0.5 ...1"/>
    <w:basedOn w:val="NoList"/>
    <w:rsid w:val="00777773"/>
    <w:pPr>
      <w:numPr>
        <w:numId w:val="2"/>
      </w:numPr>
    </w:pPr>
  </w:style>
  <w:style w:type="numbering" w:customStyle="1" w:styleId="BoxBulletedList">
    <w:name w:val="Box Bulleted List"/>
    <w:uiPriority w:val="99"/>
    <w:rsid w:val="00777773"/>
    <w:pPr>
      <w:numPr>
        <w:numId w:val="8"/>
      </w:numPr>
    </w:pPr>
  </w:style>
  <w:style w:type="paragraph" w:customStyle="1" w:styleId="Tableheading">
    <w:name w:val="Table heading"/>
    <w:basedOn w:val="Normal"/>
    <w:rsid w:val="00777773"/>
    <w:pPr>
      <w:keepLines/>
      <w:jc w:val="center"/>
    </w:pPr>
    <w:rPr>
      <w:b/>
    </w:rPr>
  </w:style>
  <w:style w:type="paragraph" w:customStyle="1" w:styleId="TableText">
    <w:name w:val="Table Text"/>
    <w:basedOn w:val="Normal"/>
    <w:rsid w:val="00777773"/>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777773"/>
    <w:pPr>
      <w:spacing w:before="80" w:after="80"/>
    </w:pPr>
    <w:rPr>
      <w:rFonts w:ascii="Univers 45 Light" w:hAnsi="Univers 45 Light"/>
      <w:sz w:val="19"/>
    </w:rPr>
  </w:style>
  <w:style w:type="character" w:customStyle="1" w:styleId="TabletextChar">
    <w:name w:val="Table text Char"/>
    <w:basedOn w:val="DefaultParagraphFont"/>
    <w:link w:val="Tabletext0"/>
    <w:rsid w:val="00777773"/>
    <w:rPr>
      <w:rFonts w:ascii="Univers 45 Light" w:eastAsia="Times New Roman" w:hAnsi="Univers 45 Light"/>
      <w:sz w:val="19"/>
      <w:lang w:eastAsia="en-AU"/>
    </w:rPr>
  </w:style>
  <w:style w:type="paragraph" w:styleId="TOC1">
    <w:name w:val="toc 1"/>
    <w:basedOn w:val="Normal"/>
    <w:next w:val="Normal"/>
    <w:autoRedefine/>
    <w:uiPriority w:val="39"/>
    <w:unhideWhenUsed/>
    <w:rsid w:val="00596A66"/>
    <w:pPr>
      <w:tabs>
        <w:tab w:val="right" w:leader="dot" w:pos="9346"/>
      </w:tabs>
      <w:spacing w:before="0" w:after="100"/>
    </w:pPr>
    <w:rPr>
      <w:rFonts w:asciiTheme="minorHAnsi" w:eastAsiaTheme="minorHAnsi" w:hAnsiTheme="minorHAnsi" w:cstheme="minorBidi"/>
      <w:noProof/>
      <w:szCs w:val="22"/>
      <w:lang w:eastAsia="en-US"/>
    </w:rPr>
  </w:style>
  <w:style w:type="paragraph" w:styleId="TOC2">
    <w:name w:val="toc 2"/>
    <w:basedOn w:val="Normal"/>
    <w:next w:val="Normal"/>
    <w:autoRedefine/>
    <w:uiPriority w:val="39"/>
    <w:unhideWhenUsed/>
    <w:rsid w:val="008266F6"/>
    <w:pPr>
      <w:tabs>
        <w:tab w:val="right" w:leader="dot" w:pos="9346"/>
      </w:tabs>
      <w:spacing w:before="0" w:after="100" w:line="276" w:lineRule="auto"/>
    </w:pPr>
    <w:rPr>
      <w:rFonts w:asciiTheme="minorHAnsi" w:eastAsiaTheme="minorHAnsi" w:hAnsiTheme="minorHAnsi" w:cstheme="minorBidi"/>
      <w:noProof/>
      <w:szCs w:val="22"/>
      <w:lang w:eastAsia="en-US"/>
    </w:rPr>
  </w:style>
  <w:style w:type="paragraph" w:customStyle="1" w:styleId="ChartandTableFootnote">
    <w:name w:val="Chart and Table Footnote"/>
    <w:basedOn w:val="Normal"/>
    <w:next w:val="Normal"/>
    <w:rsid w:val="00A028FC"/>
    <w:pPr>
      <w:tabs>
        <w:tab w:val="left" w:pos="709"/>
      </w:tabs>
      <w:spacing w:before="30" w:after="0"/>
      <w:ind w:left="709" w:hanging="709"/>
    </w:pPr>
    <w:rPr>
      <w:rFonts w:ascii="Arial" w:hAnsi="Arial"/>
      <w:color w:val="000000"/>
      <w:sz w:val="16"/>
    </w:rPr>
  </w:style>
  <w:style w:type="character" w:styleId="CommentReference">
    <w:name w:val="annotation reference"/>
    <w:basedOn w:val="DefaultParagraphFont"/>
    <w:uiPriority w:val="99"/>
    <w:semiHidden/>
    <w:unhideWhenUsed/>
    <w:rsid w:val="00D32087"/>
    <w:rPr>
      <w:sz w:val="16"/>
      <w:szCs w:val="16"/>
    </w:rPr>
  </w:style>
  <w:style w:type="paragraph" w:styleId="CommentText">
    <w:name w:val="annotation text"/>
    <w:basedOn w:val="Normal"/>
    <w:link w:val="CommentTextChar"/>
    <w:uiPriority w:val="99"/>
    <w:unhideWhenUsed/>
    <w:rsid w:val="00D32087"/>
    <w:rPr>
      <w:sz w:val="20"/>
    </w:rPr>
  </w:style>
  <w:style w:type="character" w:customStyle="1" w:styleId="CommentTextChar">
    <w:name w:val="Comment Text Char"/>
    <w:basedOn w:val="DefaultParagraphFont"/>
    <w:link w:val="CommentText"/>
    <w:uiPriority w:val="99"/>
    <w:rsid w:val="00D32087"/>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D32087"/>
    <w:rPr>
      <w:b/>
      <w:bCs/>
    </w:rPr>
  </w:style>
  <w:style w:type="character" w:customStyle="1" w:styleId="CommentSubjectChar">
    <w:name w:val="Comment Subject Char"/>
    <w:basedOn w:val="CommentTextChar"/>
    <w:link w:val="CommentSubject"/>
    <w:semiHidden/>
    <w:rsid w:val="00D32087"/>
    <w:rPr>
      <w:rFonts w:ascii="Calibri Light" w:eastAsia="Times New Roman" w:hAnsi="Calibri Light"/>
      <w:b/>
      <w:bCs/>
      <w:lang w:eastAsia="en-AU"/>
    </w:rPr>
  </w:style>
  <w:style w:type="character" w:styleId="UnresolvedMention">
    <w:name w:val="Unresolved Mention"/>
    <w:basedOn w:val="DefaultParagraphFont"/>
    <w:uiPriority w:val="99"/>
    <w:semiHidden/>
    <w:unhideWhenUsed/>
    <w:rsid w:val="00146CB3"/>
    <w:rPr>
      <w:color w:val="605E5C"/>
      <w:shd w:val="clear" w:color="auto" w:fill="E1DFDD"/>
    </w:rPr>
  </w:style>
  <w:style w:type="paragraph" w:customStyle="1" w:styleId="OutlineNumbered1">
    <w:name w:val="Outline Numbered 1"/>
    <w:basedOn w:val="Normal"/>
    <w:rsid w:val="00247DE0"/>
    <w:pPr>
      <w:numPr>
        <w:numId w:val="16"/>
      </w:numPr>
      <w:spacing w:before="0" w:after="220"/>
    </w:pPr>
    <w:rPr>
      <w:rFonts w:ascii="Calibri" w:hAnsi="Calibri"/>
      <w:color w:val="000000" w:themeColor="text1"/>
      <w:sz w:val="24"/>
      <w:szCs w:val="24"/>
    </w:rPr>
  </w:style>
  <w:style w:type="paragraph" w:customStyle="1" w:styleId="OutlineNumbered2">
    <w:name w:val="Outline Numbered 2"/>
    <w:basedOn w:val="Normal"/>
    <w:link w:val="OutlineNumbered2Char"/>
    <w:rsid w:val="00247DE0"/>
    <w:pPr>
      <w:numPr>
        <w:ilvl w:val="1"/>
        <w:numId w:val="16"/>
      </w:numPr>
      <w:spacing w:before="0" w:after="220"/>
    </w:pPr>
    <w:rPr>
      <w:rFonts w:ascii="Calibri" w:hAnsi="Calibri"/>
      <w:color w:val="000000" w:themeColor="text1"/>
      <w:sz w:val="24"/>
      <w:szCs w:val="24"/>
    </w:rPr>
  </w:style>
  <w:style w:type="character" w:customStyle="1" w:styleId="OutlineNumbered2Char">
    <w:name w:val="Outline Numbered 2 Char"/>
    <w:link w:val="OutlineNumbered2"/>
    <w:locked/>
    <w:rsid w:val="00247DE0"/>
    <w:rPr>
      <w:rFonts w:eastAsia="Times New Roman"/>
      <w:color w:val="000000" w:themeColor="text1"/>
      <w:sz w:val="24"/>
      <w:szCs w:val="24"/>
      <w:lang w:eastAsia="en-AU"/>
    </w:rPr>
  </w:style>
  <w:style w:type="paragraph" w:customStyle="1" w:styleId="OutlineNumbered3">
    <w:name w:val="Outline Numbered 3"/>
    <w:basedOn w:val="Normal"/>
    <w:rsid w:val="00247DE0"/>
    <w:pPr>
      <w:numPr>
        <w:ilvl w:val="2"/>
        <w:numId w:val="16"/>
      </w:numPr>
      <w:tabs>
        <w:tab w:val="clear" w:pos="1701"/>
        <w:tab w:val="num" w:pos="360"/>
      </w:tabs>
      <w:spacing w:before="0" w:after="220"/>
      <w:ind w:left="0" w:firstLine="0"/>
    </w:pPr>
    <w:rPr>
      <w:rFonts w:ascii="Calibri" w:hAnsi="Calibr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 w:id="213733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o.gov.au/osfi" TargetMode="External"/><Relationship Id="rId13" Type="http://schemas.openxmlformats.org/officeDocument/2006/relationships/hyperlink" Target="https://www.ato.gov.au/General/Foreign-investment-in-Australia/"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ato.gov.au/osfi" TargetMode="External"/><Relationship Id="rId12" Type="http://schemas.openxmlformats.org/officeDocument/2006/relationships/hyperlink" Target="https://www.myid.gov.au/" TargetMode="External"/><Relationship Id="rId17" Type="http://schemas.openxmlformats.org/officeDocument/2006/relationships/hyperlink" Target="mailto:foreigninvestmentenquiries@treasury.gov.au" TargetMode="External"/><Relationship Id="rId2" Type="http://schemas.openxmlformats.org/officeDocument/2006/relationships/styles" Target="styles.xml"/><Relationship Id="rId16" Type="http://schemas.openxmlformats.org/officeDocument/2006/relationships/hyperlink" Target="mailto:foreigninvestmentcompliance@treasury.gov.au"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to.gov.au/osfi" TargetMode="External"/><Relationship Id="rId5" Type="http://schemas.openxmlformats.org/officeDocument/2006/relationships/footnotes" Target="footnotes.xml"/><Relationship Id="rId15" Type="http://schemas.openxmlformats.org/officeDocument/2006/relationships/hyperlink" Target="https://www.ato.gov.au/General/Foreign-investment-in-Australia/" TargetMode="External"/><Relationship Id="rId23" Type="http://schemas.openxmlformats.org/officeDocument/2006/relationships/theme" Target="theme/theme1.xml"/><Relationship Id="rId10" Type="http://schemas.openxmlformats.org/officeDocument/2006/relationships/hyperlink" Target="https://www.legislation.gov.au/Details/F2017L00833"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to.gov.au/osfi" TargetMode="External"/><Relationship Id="rId14" Type="http://schemas.openxmlformats.org/officeDocument/2006/relationships/hyperlink" Target="https://www.ato.gov.au/General/Foreign-investment-in-Australia/Contact-us-about-foreign-investment/"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4857</Words>
  <Characters>27686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Guidance Note 15 – Register of Foreign Ownership of Australian Assets</vt:lpstr>
    </vt:vector>
  </TitlesOfParts>
  <Company/>
  <LinksUpToDate>false</LinksUpToDate>
  <CharactersWithSpaces>32479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 15 – Register of Foreign Ownership of Australian Assets</dc:title>
  <dc:subject/>
  <dc:creator>Australian Government</dc:creator>
  <cp:keywords/>
  <dc:description/>
  <cp:lastModifiedBy/>
  <cp:revision>1</cp:revision>
  <dcterms:created xsi:type="dcterms:W3CDTF">2026-06-26T03:58:00Z</dcterms:created>
  <dcterms:modified xsi:type="dcterms:W3CDTF">2026-06-26T03:58:00Z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2026-06-26T03:58:33Z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e85e8014-f05e-4082-abfb-e9a2ddd3f6a7</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