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AC294" w14:textId="77777777" w:rsidR="005E13D7" w:rsidRDefault="005E13D7" w:rsidP="005E13D7"/>
    <w:p w14:paraId="60D03B00" w14:textId="65EB8820" w:rsidR="005E13D7" w:rsidRDefault="005E13D7" w:rsidP="00C5232C">
      <w:pPr>
        <w:jc w:val="right"/>
      </w:pPr>
      <w:r w:rsidRPr="008C05F2">
        <w:br/>
      </w:r>
    </w:p>
    <w:p w14:paraId="7B2A56BF" w14:textId="24C674B4" w:rsidR="0012754E" w:rsidRPr="0012754E" w:rsidRDefault="00497078" w:rsidP="00604D37">
      <w:pPr>
        <w:pStyle w:val="Factsheettitle"/>
      </w:pPr>
      <w:r w:rsidRPr="00497078">
        <w:t xml:space="preserve">Foreign Investment </w:t>
      </w:r>
      <w:r w:rsidR="004B6BA2" w:rsidRPr="004B6BA2" w:rsidDel="009B333E">
        <w:t>Tax Checklist</w:t>
      </w:r>
    </w:p>
    <w:tbl>
      <w:tblPr>
        <w:tblW w:w="5000" w:type="pct"/>
        <w:shd w:val="clear" w:color="auto" w:fill="F2F9FC"/>
        <w:tblCellMar>
          <w:top w:w="227" w:type="dxa"/>
          <w:left w:w="227" w:type="dxa"/>
          <w:bottom w:w="227" w:type="dxa"/>
          <w:right w:w="227" w:type="dxa"/>
        </w:tblCellMar>
        <w:tblLook w:val="01E0" w:firstRow="1" w:lastRow="1" w:firstColumn="1" w:lastColumn="1" w:noHBand="0" w:noVBand="0"/>
      </w:tblPr>
      <w:tblGrid>
        <w:gridCol w:w="8504"/>
      </w:tblGrid>
      <w:tr w:rsidR="005E13D7" w14:paraId="34A29695" w14:textId="77777777" w:rsidTr="00D63B84">
        <w:tc>
          <w:tcPr>
            <w:tcW w:w="5000" w:type="pct"/>
            <w:shd w:val="clear" w:color="auto" w:fill="F2F9FC"/>
            <w:vAlign w:val="center"/>
          </w:tcPr>
          <w:p w14:paraId="44558589" w14:textId="60565419" w:rsidR="003539A9" w:rsidRDefault="003539A9" w:rsidP="003974F2">
            <w:pPr>
              <w:pStyle w:val="Bullet"/>
            </w:pPr>
            <w:r w:rsidRPr="002E6E11">
              <w:t xml:space="preserve">This Tax Checklist outlines information required by </w:t>
            </w:r>
            <w:r w:rsidRPr="002E6E11" w:rsidDel="00CE2E2A">
              <w:t xml:space="preserve">the </w:t>
            </w:r>
            <w:r w:rsidRPr="002E6E11">
              <w:t>Australian Taxation Office (</w:t>
            </w:r>
            <w:r w:rsidRPr="002E6E11">
              <w:rPr>
                <w:b/>
                <w:bCs/>
              </w:rPr>
              <w:t>ATO</w:t>
            </w:r>
            <w:r w:rsidRPr="002E6E11">
              <w:t>)</w:t>
            </w:r>
            <w:r w:rsidR="00A461C0">
              <w:t xml:space="preserve"> to support Treasury in its</w:t>
            </w:r>
            <w:r w:rsidRPr="002E6E11">
              <w:t xml:space="preserve"> </w:t>
            </w:r>
            <w:r>
              <w:t>review</w:t>
            </w:r>
            <w:r w:rsidRPr="002E6E11">
              <w:t xml:space="preserve"> of foreign investment proposals.</w:t>
            </w:r>
          </w:p>
          <w:p w14:paraId="17BBFCC0" w14:textId="0E635435" w:rsidR="00AF1D42" w:rsidRDefault="008146B1" w:rsidP="003974F2">
            <w:pPr>
              <w:pStyle w:val="Bullet"/>
            </w:pPr>
            <w:r>
              <w:t xml:space="preserve">When completing your </w:t>
            </w:r>
            <w:r w:rsidR="00265162">
              <w:t xml:space="preserve">submission </w:t>
            </w:r>
            <w:r>
              <w:t>form</w:t>
            </w:r>
            <w:r w:rsidR="00265162">
              <w:t xml:space="preserve"> in</w:t>
            </w:r>
            <w:r>
              <w:t xml:space="preserve"> the</w:t>
            </w:r>
            <w:r w:rsidR="00575659">
              <w:t xml:space="preserve"> Foreign Investment Portal </w:t>
            </w:r>
            <w:r w:rsidR="00BB33DA">
              <w:t xml:space="preserve">(the </w:t>
            </w:r>
            <w:r w:rsidR="00BB33DA" w:rsidRPr="00BB33DA">
              <w:rPr>
                <w:b/>
                <w:bCs/>
              </w:rPr>
              <w:t>Portal</w:t>
            </w:r>
            <w:r w:rsidR="00BB33DA">
              <w:t xml:space="preserve">) </w:t>
            </w:r>
            <w:r w:rsidR="00265162">
              <w:t>you will be advised</w:t>
            </w:r>
            <w:r w:rsidR="00575659">
              <w:t xml:space="preserve"> whether </w:t>
            </w:r>
            <w:r w:rsidR="008F360F">
              <w:t>you</w:t>
            </w:r>
            <w:r w:rsidR="008F360F" w:rsidDel="00265162">
              <w:t xml:space="preserve"> </w:t>
            </w:r>
            <w:r w:rsidR="00265162">
              <w:t>need to</w:t>
            </w:r>
            <w:r w:rsidR="008F360F">
              <w:t xml:space="preserve"> complete the </w:t>
            </w:r>
            <w:r w:rsidR="00E7388F">
              <w:t>Tax</w:t>
            </w:r>
            <w:r w:rsidR="00575659">
              <w:t xml:space="preserve"> </w:t>
            </w:r>
            <w:r w:rsidR="00E7388F">
              <w:t>C</w:t>
            </w:r>
            <w:r w:rsidR="00575659">
              <w:t>hecklis</w:t>
            </w:r>
            <w:r>
              <w:t>t.</w:t>
            </w:r>
          </w:p>
          <w:p w14:paraId="2ACFA5B2" w14:textId="70137B7C" w:rsidR="00477CDB" w:rsidRDefault="00E14429" w:rsidP="003974F2">
            <w:pPr>
              <w:pStyle w:val="Bullet"/>
              <w:numPr>
                <w:ilvl w:val="1"/>
                <w:numId w:val="7"/>
              </w:numPr>
            </w:pPr>
            <w:r>
              <w:t xml:space="preserve">The ‘Overview’ section </w:t>
            </w:r>
            <w:r w:rsidR="00137BC3">
              <w:t>outlines the section</w:t>
            </w:r>
            <w:r w:rsidR="001342E6">
              <w:t>s</w:t>
            </w:r>
            <w:r w:rsidR="00137BC3">
              <w:t xml:space="preserve"> of the </w:t>
            </w:r>
            <w:r w:rsidR="009C2696">
              <w:t>Tax C</w:t>
            </w:r>
            <w:r w:rsidR="00137BC3">
              <w:t xml:space="preserve">hecklist which are mandatory </w:t>
            </w:r>
            <w:proofErr w:type="gramStart"/>
            <w:r w:rsidR="00137BC3">
              <w:t>and also</w:t>
            </w:r>
            <w:proofErr w:type="gramEnd"/>
            <w:r w:rsidR="00137BC3">
              <w:t xml:space="preserve"> outlines sections which may be applicable based on the transaction</w:t>
            </w:r>
            <w:r w:rsidR="00FD21EB">
              <w:t>/s</w:t>
            </w:r>
            <w:r w:rsidR="00137BC3">
              <w:t>.</w:t>
            </w:r>
          </w:p>
          <w:p w14:paraId="3DA40998" w14:textId="5EDE3EF8" w:rsidR="00E7388F" w:rsidRDefault="00D26D09" w:rsidP="07E1F6C2">
            <w:pPr>
              <w:pStyle w:val="Bullet"/>
            </w:pPr>
            <w:r w:rsidDel="006D03AA">
              <w:t>Ther</w:t>
            </w:r>
            <w:r w:rsidR="008F360F" w:rsidDel="006D03AA">
              <w:t>e</w:t>
            </w:r>
            <w:r>
              <w:t xml:space="preserve"> are </w:t>
            </w:r>
            <w:r w:rsidR="00E7388F">
              <w:t xml:space="preserve">sections of the Tax Checklist </w:t>
            </w:r>
            <w:r>
              <w:t xml:space="preserve">which </w:t>
            </w:r>
            <w:r w:rsidR="00E7388F">
              <w:t>may not appl</w:t>
            </w:r>
            <w:r w:rsidR="008146B1">
              <w:t>y</w:t>
            </w:r>
            <w:r w:rsidR="00E7388F">
              <w:t xml:space="preserve"> </w:t>
            </w:r>
            <w:r w:rsidR="003B4020">
              <w:t>to your transaction</w:t>
            </w:r>
            <w:r w:rsidR="00477CDB">
              <w:t>.</w:t>
            </w:r>
            <w:r w:rsidR="00E873BC">
              <w:t xml:space="preserve"> </w:t>
            </w:r>
            <w:r w:rsidR="000E6F52">
              <w:t>If</w:t>
            </w:r>
            <w:r w:rsidR="0091500E">
              <w:t xml:space="preserve"> </w:t>
            </w:r>
            <w:r w:rsidR="00FD21EB">
              <w:t xml:space="preserve">the section is not </w:t>
            </w:r>
            <w:r w:rsidR="00104611">
              <w:t>relevant,</w:t>
            </w:r>
            <w:r w:rsidR="00FD21EB">
              <w:t xml:space="preserve"> please confirm in writing </w:t>
            </w:r>
            <w:r w:rsidR="58F8B5E3" w:rsidRPr="2BB132D1">
              <w:t xml:space="preserve">or by ticking the N/A box in the </w:t>
            </w:r>
            <w:r w:rsidR="00FD1235">
              <w:t>‘</w:t>
            </w:r>
            <w:r w:rsidR="58F8B5E3" w:rsidRPr="2BB132D1">
              <w:t>Overview</w:t>
            </w:r>
            <w:r w:rsidR="00FD1235">
              <w:t>’</w:t>
            </w:r>
            <w:r w:rsidR="58F8B5E3" w:rsidRPr="2BB132D1">
              <w:t xml:space="preserve"> section</w:t>
            </w:r>
            <w:r w:rsidR="58F8B5E3">
              <w:t xml:space="preserve"> </w:t>
            </w:r>
            <w:r w:rsidR="00FD21EB">
              <w:t>that it does not apply to the transaction/s.</w:t>
            </w:r>
          </w:p>
          <w:p w14:paraId="5F030245" w14:textId="13A235C5" w:rsidR="008D3E45" w:rsidRDefault="008D3E45" w:rsidP="003974F2">
            <w:pPr>
              <w:pStyle w:val="Bullet"/>
            </w:pPr>
            <w:r>
              <w:t xml:space="preserve">If you cannot provide certain information because it will only become available after </w:t>
            </w:r>
            <w:r w:rsidR="00ED134A">
              <w:t>lodgement</w:t>
            </w:r>
            <w:r>
              <w:t xml:space="preserve">, then you </w:t>
            </w:r>
            <w:r w:rsidR="00F30893">
              <w:t>should</w:t>
            </w:r>
            <w:r>
              <w:t xml:space="preserve"> provide a timeframe for when that information will be available. When it becomes available, </w:t>
            </w:r>
            <w:r w:rsidR="00F30893">
              <w:t>please</w:t>
            </w:r>
            <w:r>
              <w:t xml:space="preserve"> provide it</w:t>
            </w:r>
            <w:r w:rsidR="00F30893">
              <w:t xml:space="preserve"> as soon as possible</w:t>
            </w:r>
            <w:r>
              <w:t xml:space="preserve"> via the Portal.</w:t>
            </w:r>
          </w:p>
          <w:p w14:paraId="2018E4EB" w14:textId="50F5891A" w:rsidR="00100AF5" w:rsidRDefault="00F30893" w:rsidP="003974F2">
            <w:pPr>
              <w:pStyle w:val="Bullet"/>
            </w:pPr>
            <w:r>
              <w:t>If the required information is not provided at the time of lodgement</w:t>
            </w:r>
            <w:r w:rsidR="00B11398">
              <w:t xml:space="preserve"> this may cause delays in the assessment of your application. </w:t>
            </w:r>
            <w:r w:rsidR="00D26D09">
              <w:t>Treasury will request a</w:t>
            </w:r>
            <w:r w:rsidR="00AF1D42">
              <w:t xml:space="preserve">ny missing information </w:t>
            </w:r>
            <w:r w:rsidR="00670FF7">
              <w:t>during the assessment</w:t>
            </w:r>
            <w:r w:rsidR="00906B50">
              <w:t xml:space="preserve"> process</w:t>
            </w:r>
            <w:r w:rsidR="00C952F5">
              <w:t>.</w:t>
            </w:r>
          </w:p>
          <w:p w14:paraId="77167C11" w14:textId="4668D02D" w:rsidR="00C952F5" w:rsidRPr="00BA123B" w:rsidRDefault="00E806BA" w:rsidP="003974F2">
            <w:pPr>
              <w:pStyle w:val="Bullet"/>
            </w:pPr>
            <w:r>
              <w:t xml:space="preserve">If </w:t>
            </w:r>
            <w:r w:rsidR="00D26D09">
              <w:t xml:space="preserve">you </w:t>
            </w:r>
            <w:r w:rsidR="00B45EE3">
              <w:t>can</w:t>
            </w:r>
            <w:r w:rsidR="00D26D09">
              <w:t xml:space="preserve">not provide </w:t>
            </w:r>
            <w:r w:rsidR="00B54DD4">
              <w:t xml:space="preserve">the </w:t>
            </w:r>
            <w:r w:rsidR="00D26D09">
              <w:t>requested information</w:t>
            </w:r>
            <w:r w:rsidR="00F30893">
              <w:t xml:space="preserve"> prior to your application being finalised</w:t>
            </w:r>
            <w:r w:rsidR="00AF1D42">
              <w:t>, t</w:t>
            </w:r>
            <w:r w:rsidR="00AF1D42" w:rsidRPr="00100AF5">
              <w:t xml:space="preserve">he </w:t>
            </w:r>
            <w:r w:rsidR="00AF1D42" w:rsidRPr="0018485A">
              <w:t>ATO</w:t>
            </w:r>
            <w:r w:rsidR="00C952F5">
              <w:t xml:space="preserve"> may recommend that the decision maker impose conditions on </w:t>
            </w:r>
            <w:r w:rsidR="00AF1D42">
              <w:t>the</w:t>
            </w:r>
            <w:r w:rsidR="00C952F5">
              <w:t xml:space="preserve"> </w:t>
            </w:r>
            <w:r w:rsidR="001263FD">
              <w:t xml:space="preserve">transaction </w:t>
            </w:r>
            <w:r w:rsidR="00C952F5">
              <w:t xml:space="preserve">requiring that the investor provide </w:t>
            </w:r>
            <w:r w:rsidR="00B54DD4">
              <w:t xml:space="preserve">the </w:t>
            </w:r>
            <w:r w:rsidR="00C952F5">
              <w:t>information</w:t>
            </w:r>
            <w:r w:rsidR="00AF1D42">
              <w:t xml:space="preserve">. </w:t>
            </w:r>
          </w:p>
        </w:tc>
      </w:tr>
    </w:tbl>
    <w:p w14:paraId="649ECC1E" w14:textId="77777777" w:rsidR="00085636" w:rsidRDefault="00085636" w:rsidP="00E05832">
      <w:pPr>
        <w:pStyle w:val="Heading2"/>
      </w:pPr>
    </w:p>
    <w:p w14:paraId="77096EB9" w14:textId="77777777" w:rsidR="00085636" w:rsidRDefault="00085636">
      <w:pPr>
        <w:spacing w:before="0" w:after="0"/>
        <w:rPr>
          <w:rFonts w:ascii="Calibri" w:hAnsi="Calibri" w:cs="Arial"/>
          <w:iCs/>
          <w:color w:val="2C384A"/>
          <w:kern w:val="32"/>
          <w:sz w:val="36"/>
          <w:szCs w:val="28"/>
        </w:rPr>
      </w:pPr>
      <w:r>
        <w:br w:type="page"/>
      </w:r>
    </w:p>
    <w:p w14:paraId="2074D6B1" w14:textId="3B098393" w:rsidR="00E05832" w:rsidRDefault="00E05832" w:rsidP="0018485A">
      <w:pPr>
        <w:pStyle w:val="Heading2"/>
      </w:pPr>
      <w:r>
        <w:lastRenderedPageBreak/>
        <w:t>Overview</w:t>
      </w:r>
    </w:p>
    <w:tbl>
      <w:tblPr>
        <w:tblStyle w:val="TableGrid"/>
        <w:tblW w:w="8494" w:type="dxa"/>
        <w:tblLayout w:type="fixed"/>
        <w:tblLook w:val="04A0" w:firstRow="1" w:lastRow="0" w:firstColumn="1" w:lastColumn="0" w:noHBand="0" w:noVBand="1"/>
      </w:tblPr>
      <w:tblGrid>
        <w:gridCol w:w="2971"/>
        <w:gridCol w:w="1140"/>
        <w:gridCol w:w="2850"/>
        <w:gridCol w:w="1533"/>
      </w:tblGrid>
      <w:tr w:rsidR="0033409E" w14:paraId="65E0A13D" w14:textId="674D47DA" w:rsidTr="7C3BE380">
        <w:tc>
          <w:tcPr>
            <w:tcW w:w="2971" w:type="dxa"/>
            <w:shd w:val="clear" w:color="auto" w:fill="D8E6DF" w:themeFill="accent2" w:themeFillTint="33"/>
          </w:tcPr>
          <w:p w14:paraId="656664BB" w14:textId="7953B688" w:rsidR="001D173F" w:rsidRPr="00412E59" w:rsidRDefault="001D173F" w:rsidP="00D17B76">
            <w:pPr>
              <w:spacing w:before="60" w:after="60"/>
              <w:jc w:val="center"/>
              <w:rPr>
                <w:b/>
                <w:sz w:val="21"/>
                <w:szCs w:val="21"/>
              </w:rPr>
            </w:pPr>
            <w:r w:rsidRPr="00412E59">
              <w:rPr>
                <w:b/>
                <w:sz w:val="21"/>
                <w:szCs w:val="21"/>
              </w:rPr>
              <w:t>Section</w:t>
            </w:r>
          </w:p>
        </w:tc>
        <w:tc>
          <w:tcPr>
            <w:tcW w:w="1140" w:type="dxa"/>
            <w:shd w:val="clear" w:color="auto" w:fill="D8E6DF" w:themeFill="accent2" w:themeFillTint="33"/>
          </w:tcPr>
          <w:p w14:paraId="2433509F" w14:textId="56FB028D" w:rsidR="001D173F" w:rsidRPr="00412E59" w:rsidRDefault="001D173F" w:rsidP="00D17B76">
            <w:pPr>
              <w:spacing w:before="60" w:after="60"/>
              <w:jc w:val="center"/>
              <w:rPr>
                <w:b/>
                <w:sz w:val="21"/>
                <w:szCs w:val="21"/>
              </w:rPr>
            </w:pPr>
            <w:r w:rsidRPr="00412E59">
              <w:rPr>
                <w:b/>
                <w:sz w:val="21"/>
                <w:szCs w:val="21"/>
              </w:rPr>
              <w:t>Questions</w:t>
            </w:r>
          </w:p>
        </w:tc>
        <w:tc>
          <w:tcPr>
            <w:tcW w:w="2850" w:type="dxa"/>
            <w:shd w:val="clear" w:color="auto" w:fill="D8E6DF" w:themeFill="accent2" w:themeFillTint="33"/>
          </w:tcPr>
          <w:p w14:paraId="5FA8B2CF" w14:textId="6DC16184" w:rsidR="001D173F" w:rsidRPr="00412E59" w:rsidRDefault="001D173F" w:rsidP="00D17B76">
            <w:pPr>
              <w:spacing w:before="60" w:after="60"/>
              <w:jc w:val="center"/>
              <w:rPr>
                <w:b/>
                <w:sz w:val="21"/>
                <w:szCs w:val="21"/>
              </w:rPr>
            </w:pPr>
            <w:r w:rsidRPr="00412E59">
              <w:rPr>
                <w:b/>
                <w:sz w:val="21"/>
                <w:szCs w:val="21"/>
              </w:rPr>
              <w:t>Criteria for completion</w:t>
            </w:r>
          </w:p>
        </w:tc>
        <w:tc>
          <w:tcPr>
            <w:tcW w:w="1533" w:type="dxa"/>
            <w:shd w:val="clear" w:color="auto" w:fill="D8E6DF" w:themeFill="accent2" w:themeFillTint="33"/>
          </w:tcPr>
          <w:p w14:paraId="35D35241" w14:textId="2D4D095A" w:rsidR="00773E03" w:rsidRPr="00412E59" w:rsidRDefault="003C50BB" w:rsidP="00D17B76">
            <w:pPr>
              <w:spacing w:before="60" w:after="60"/>
              <w:jc w:val="center"/>
              <w:rPr>
                <w:b/>
                <w:sz w:val="21"/>
                <w:szCs w:val="21"/>
              </w:rPr>
            </w:pPr>
            <w:r w:rsidRPr="00412E59">
              <w:rPr>
                <w:b/>
                <w:sz w:val="21"/>
                <w:szCs w:val="21"/>
              </w:rPr>
              <w:t>Status</w:t>
            </w:r>
          </w:p>
        </w:tc>
      </w:tr>
      <w:tr w:rsidR="001D173F" w14:paraId="31F635C6" w14:textId="4AB28284" w:rsidTr="20E141B2">
        <w:tc>
          <w:tcPr>
            <w:tcW w:w="8494" w:type="dxa"/>
            <w:gridSpan w:val="4"/>
            <w:shd w:val="clear" w:color="auto" w:fill="F2F2F2" w:themeFill="background1" w:themeFillShade="F2"/>
          </w:tcPr>
          <w:p w14:paraId="01F16A98" w14:textId="29057941" w:rsidR="00773E03" w:rsidRPr="00412E59" w:rsidRDefault="00D63B84" w:rsidP="00D17B76">
            <w:pPr>
              <w:spacing w:before="60" w:after="60"/>
              <w:jc w:val="center"/>
              <w:rPr>
                <w:b/>
                <w:sz w:val="21"/>
                <w:szCs w:val="21"/>
              </w:rPr>
            </w:pPr>
            <w:r w:rsidRPr="00412E59">
              <w:rPr>
                <w:b/>
                <w:sz w:val="21"/>
                <w:szCs w:val="21"/>
              </w:rPr>
              <w:t>Mandatory sections</w:t>
            </w:r>
          </w:p>
        </w:tc>
      </w:tr>
      <w:tr w:rsidR="000E375F" w14:paraId="16F6F20D" w14:textId="71674653" w:rsidTr="7C3BE380">
        <w:trPr>
          <w:trHeight w:val="325"/>
        </w:trPr>
        <w:tc>
          <w:tcPr>
            <w:tcW w:w="2971" w:type="dxa"/>
            <w:tcBorders>
              <w:left w:val="single" w:sz="4" w:space="0" w:color="auto"/>
            </w:tcBorders>
            <w:vAlign w:val="center"/>
          </w:tcPr>
          <w:p w14:paraId="75968C88" w14:textId="0183649C" w:rsidR="00BA0C1C" w:rsidRPr="00412E59" w:rsidRDefault="00BA0C1C" w:rsidP="00E01BC1">
            <w:pPr>
              <w:spacing w:beforeLines="20" w:before="48" w:afterLines="20" w:after="48"/>
              <w:rPr>
                <w:sz w:val="21"/>
                <w:szCs w:val="21"/>
              </w:rPr>
            </w:pPr>
            <w:r w:rsidRPr="00412E59">
              <w:rPr>
                <w:sz w:val="21"/>
                <w:szCs w:val="21"/>
              </w:rPr>
              <w:t>Tax character and step plan</w:t>
            </w:r>
          </w:p>
        </w:tc>
        <w:tc>
          <w:tcPr>
            <w:tcW w:w="1140" w:type="dxa"/>
            <w:vAlign w:val="center"/>
          </w:tcPr>
          <w:p w14:paraId="2B9A2269" w14:textId="3CA65177" w:rsidR="00BA0C1C" w:rsidRPr="00412E59" w:rsidRDefault="00BA0C1C" w:rsidP="00E01BC1">
            <w:pPr>
              <w:spacing w:beforeLines="20" w:before="48" w:afterLines="20" w:after="48"/>
              <w:rPr>
                <w:sz w:val="21"/>
                <w:szCs w:val="21"/>
              </w:rPr>
            </w:pPr>
            <w:r w:rsidRPr="00412E59">
              <w:rPr>
                <w:sz w:val="21"/>
                <w:szCs w:val="21"/>
              </w:rPr>
              <w:t>1-4</w:t>
            </w:r>
          </w:p>
        </w:tc>
        <w:tc>
          <w:tcPr>
            <w:tcW w:w="2850" w:type="dxa"/>
            <w:vMerge w:val="restart"/>
            <w:vAlign w:val="center"/>
          </w:tcPr>
          <w:p w14:paraId="5326EA4A" w14:textId="1969EE92" w:rsidR="00BA0C1C" w:rsidRPr="00412E59" w:rsidRDefault="00BA0C1C" w:rsidP="00D17B76">
            <w:pPr>
              <w:spacing w:before="60" w:after="60"/>
              <w:rPr>
                <w:sz w:val="21"/>
                <w:szCs w:val="21"/>
              </w:rPr>
            </w:pPr>
            <w:r w:rsidRPr="00412E59">
              <w:rPr>
                <w:sz w:val="21"/>
                <w:szCs w:val="21"/>
              </w:rPr>
              <w:t>You must complete each of these sections when completing the Tax Checklist.</w:t>
            </w:r>
          </w:p>
        </w:tc>
        <w:tc>
          <w:tcPr>
            <w:tcW w:w="1533" w:type="dxa"/>
            <w:vAlign w:val="center"/>
          </w:tcPr>
          <w:p w14:paraId="543A7838" w14:textId="38A9C94E" w:rsidR="00773E03" w:rsidRPr="00412E59" w:rsidRDefault="00000000" w:rsidP="00E01BC1">
            <w:pPr>
              <w:spacing w:before="20" w:after="20"/>
              <w:rPr>
                <w:sz w:val="21"/>
                <w:szCs w:val="21"/>
              </w:rPr>
            </w:pPr>
            <w:sdt>
              <w:sdtPr>
                <w:rPr>
                  <w:sz w:val="21"/>
                  <w:szCs w:val="21"/>
                </w:rPr>
                <w:id w:val="1506242836"/>
                <w14:checkbox>
                  <w14:checked w14:val="0"/>
                  <w14:checkedState w14:val="2612" w14:font="MS Gothic"/>
                  <w14:uncheckedState w14:val="2610" w14:font="MS Gothic"/>
                </w14:checkbox>
              </w:sdtPr>
              <w:sdtContent>
                <w:r w:rsidR="00DB6645">
                  <w:rPr>
                    <w:rFonts w:ascii="MS Gothic" w:eastAsia="MS Gothic" w:hAnsi="MS Gothic"/>
                    <w:sz w:val="21"/>
                    <w:szCs w:val="21"/>
                  </w:rPr>
                  <w:t>☐</w:t>
                </w:r>
              </w:sdtContent>
            </w:sdt>
            <w:r w:rsidR="00DB6645" w:rsidRPr="00412E59">
              <w:rPr>
                <w:sz w:val="21"/>
                <w:szCs w:val="21"/>
              </w:rPr>
              <w:t xml:space="preserve"> Completed</w:t>
            </w:r>
          </w:p>
        </w:tc>
      </w:tr>
      <w:tr w:rsidR="000E375F" w14:paraId="0B91546A" w14:textId="3C9385F8" w:rsidTr="7C3BE380">
        <w:trPr>
          <w:trHeight w:val="300"/>
        </w:trPr>
        <w:tc>
          <w:tcPr>
            <w:tcW w:w="2971" w:type="dxa"/>
            <w:tcBorders>
              <w:left w:val="single" w:sz="4" w:space="0" w:color="auto"/>
            </w:tcBorders>
            <w:vAlign w:val="center"/>
          </w:tcPr>
          <w:p w14:paraId="1AB0960C" w14:textId="67447C5C" w:rsidR="001D173F" w:rsidRPr="00412E59" w:rsidRDefault="001D173F" w:rsidP="00E01BC1">
            <w:pPr>
              <w:spacing w:beforeLines="20" w:before="48" w:afterLines="20" w:after="48"/>
              <w:rPr>
                <w:sz w:val="21"/>
                <w:szCs w:val="21"/>
              </w:rPr>
            </w:pPr>
            <w:r w:rsidRPr="00412E59">
              <w:rPr>
                <w:sz w:val="21"/>
                <w:szCs w:val="21"/>
              </w:rPr>
              <w:t>Cross-border restructuring</w:t>
            </w:r>
          </w:p>
        </w:tc>
        <w:tc>
          <w:tcPr>
            <w:tcW w:w="1140" w:type="dxa"/>
            <w:vAlign w:val="center"/>
          </w:tcPr>
          <w:p w14:paraId="0378FC1E" w14:textId="57FC8DF4" w:rsidR="001D173F" w:rsidRPr="00412E59" w:rsidRDefault="001D173F" w:rsidP="00E01BC1">
            <w:pPr>
              <w:spacing w:beforeLines="20" w:before="48" w:afterLines="20" w:after="48"/>
              <w:rPr>
                <w:sz w:val="21"/>
                <w:szCs w:val="21"/>
              </w:rPr>
            </w:pPr>
            <w:r w:rsidRPr="00412E59">
              <w:rPr>
                <w:sz w:val="21"/>
                <w:szCs w:val="21"/>
              </w:rPr>
              <w:t>5-7</w:t>
            </w:r>
          </w:p>
        </w:tc>
        <w:tc>
          <w:tcPr>
            <w:tcW w:w="2850" w:type="dxa"/>
            <w:vMerge/>
            <w:vAlign w:val="center"/>
          </w:tcPr>
          <w:p w14:paraId="536CAF63" w14:textId="4C92CE43" w:rsidR="001D173F" w:rsidRPr="00412E59" w:rsidRDefault="001D173F" w:rsidP="001D173F">
            <w:pPr>
              <w:spacing w:before="60" w:after="60"/>
              <w:rPr>
                <w:sz w:val="21"/>
                <w:szCs w:val="21"/>
              </w:rPr>
            </w:pPr>
          </w:p>
        </w:tc>
        <w:tc>
          <w:tcPr>
            <w:tcW w:w="1533" w:type="dxa"/>
            <w:vAlign w:val="center"/>
          </w:tcPr>
          <w:p w14:paraId="583DEB96" w14:textId="53DA81DD" w:rsidR="00773E03" w:rsidRPr="00412E59" w:rsidRDefault="00000000" w:rsidP="00E01BC1">
            <w:pPr>
              <w:spacing w:before="20" w:after="20"/>
              <w:rPr>
                <w:sz w:val="21"/>
                <w:szCs w:val="21"/>
              </w:rPr>
            </w:pPr>
            <w:sdt>
              <w:sdtPr>
                <w:rPr>
                  <w:sz w:val="21"/>
                  <w:szCs w:val="21"/>
                </w:rPr>
                <w:id w:val="-41985992"/>
                <w14:checkbox>
                  <w14:checked w14:val="0"/>
                  <w14:checkedState w14:val="2612" w14:font="MS Gothic"/>
                  <w14:uncheckedState w14:val="2610" w14:font="MS Gothic"/>
                </w14:checkbox>
              </w:sdtPr>
              <w:sdtContent>
                <w:r w:rsidR="00DB6645">
                  <w:rPr>
                    <w:rFonts w:ascii="MS Gothic" w:eastAsia="MS Gothic" w:hAnsi="MS Gothic"/>
                    <w:sz w:val="21"/>
                    <w:szCs w:val="21"/>
                  </w:rPr>
                  <w:t>☐</w:t>
                </w:r>
              </w:sdtContent>
            </w:sdt>
            <w:r w:rsidR="00DB6645" w:rsidRPr="00412E59">
              <w:rPr>
                <w:sz w:val="21"/>
                <w:szCs w:val="21"/>
              </w:rPr>
              <w:t xml:space="preserve"> Completed</w:t>
            </w:r>
          </w:p>
        </w:tc>
      </w:tr>
      <w:tr w:rsidR="000E375F" w14:paraId="2C818DAE" w14:textId="56E3CB23" w:rsidTr="7C3BE380">
        <w:trPr>
          <w:trHeight w:val="300"/>
        </w:trPr>
        <w:tc>
          <w:tcPr>
            <w:tcW w:w="2971" w:type="dxa"/>
            <w:tcBorders>
              <w:left w:val="single" w:sz="4" w:space="0" w:color="auto"/>
            </w:tcBorders>
            <w:vAlign w:val="center"/>
          </w:tcPr>
          <w:p w14:paraId="0D63895E" w14:textId="44391E3A" w:rsidR="001D173F" w:rsidRPr="00412E59" w:rsidRDefault="001D173F" w:rsidP="00E01BC1">
            <w:pPr>
              <w:spacing w:beforeLines="20" w:before="48" w:afterLines="20" w:after="48"/>
              <w:rPr>
                <w:sz w:val="21"/>
                <w:szCs w:val="21"/>
              </w:rPr>
            </w:pPr>
            <w:r w:rsidRPr="00412E59">
              <w:rPr>
                <w:sz w:val="21"/>
                <w:szCs w:val="21"/>
              </w:rPr>
              <w:t>Taxpayer Alerts</w:t>
            </w:r>
          </w:p>
        </w:tc>
        <w:tc>
          <w:tcPr>
            <w:tcW w:w="1140" w:type="dxa"/>
            <w:vAlign w:val="center"/>
          </w:tcPr>
          <w:p w14:paraId="3E999FA2" w14:textId="5E4978B3" w:rsidR="001D173F" w:rsidRPr="00412E59" w:rsidRDefault="001D173F" w:rsidP="00E01BC1">
            <w:pPr>
              <w:spacing w:beforeLines="20" w:before="48" w:afterLines="20" w:after="48"/>
              <w:rPr>
                <w:sz w:val="21"/>
                <w:szCs w:val="21"/>
              </w:rPr>
            </w:pPr>
            <w:r w:rsidRPr="00412E59">
              <w:rPr>
                <w:sz w:val="21"/>
                <w:szCs w:val="21"/>
              </w:rPr>
              <w:t>8</w:t>
            </w:r>
          </w:p>
        </w:tc>
        <w:tc>
          <w:tcPr>
            <w:tcW w:w="2850" w:type="dxa"/>
            <w:vMerge/>
            <w:vAlign w:val="center"/>
          </w:tcPr>
          <w:p w14:paraId="268DE471" w14:textId="36FFBCCD" w:rsidR="001D173F" w:rsidRPr="00412E59" w:rsidRDefault="001D173F" w:rsidP="001D173F">
            <w:pPr>
              <w:spacing w:before="60" w:after="60"/>
              <w:rPr>
                <w:sz w:val="21"/>
                <w:szCs w:val="21"/>
              </w:rPr>
            </w:pPr>
          </w:p>
        </w:tc>
        <w:tc>
          <w:tcPr>
            <w:tcW w:w="1533" w:type="dxa"/>
            <w:vAlign w:val="center"/>
          </w:tcPr>
          <w:p w14:paraId="5A1043F2" w14:textId="3F5A639B" w:rsidR="00773E03" w:rsidRPr="00412E59" w:rsidRDefault="00000000" w:rsidP="00E01BC1">
            <w:pPr>
              <w:spacing w:before="20" w:after="20"/>
              <w:rPr>
                <w:sz w:val="21"/>
                <w:szCs w:val="21"/>
              </w:rPr>
            </w:pPr>
            <w:sdt>
              <w:sdtPr>
                <w:rPr>
                  <w:sz w:val="21"/>
                  <w:szCs w:val="21"/>
                </w:rPr>
                <w:id w:val="23684755"/>
                <w14:checkbox>
                  <w14:checked w14:val="0"/>
                  <w14:checkedState w14:val="2612" w14:font="MS Gothic"/>
                  <w14:uncheckedState w14:val="2610" w14:font="MS Gothic"/>
                </w14:checkbox>
              </w:sdtPr>
              <w:sdtContent>
                <w:r w:rsidR="00DB6645">
                  <w:rPr>
                    <w:rFonts w:ascii="MS Gothic" w:eastAsia="MS Gothic" w:hAnsi="MS Gothic"/>
                    <w:sz w:val="21"/>
                    <w:szCs w:val="21"/>
                  </w:rPr>
                  <w:t>☐</w:t>
                </w:r>
              </w:sdtContent>
            </w:sdt>
            <w:r w:rsidR="00DB6645" w:rsidRPr="00412E59">
              <w:rPr>
                <w:sz w:val="21"/>
                <w:szCs w:val="21"/>
              </w:rPr>
              <w:t xml:space="preserve"> Completed</w:t>
            </w:r>
          </w:p>
        </w:tc>
      </w:tr>
      <w:tr w:rsidR="000E375F" w14:paraId="73AD2AE5" w14:textId="3354BE6D" w:rsidTr="7C3BE380">
        <w:tc>
          <w:tcPr>
            <w:tcW w:w="2971" w:type="dxa"/>
            <w:tcBorders>
              <w:left w:val="single" w:sz="4" w:space="0" w:color="auto"/>
            </w:tcBorders>
            <w:vAlign w:val="center"/>
          </w:tcPr>
          <w:p w14:paraId="493A646F" w14:textId="6705963D" w:rsidR="001D173F" w:rsidRPr="00412E59" w:rsidRDefault="001D173F" w:rsidP="00E01BC1">
            <w:pPr>
              <w:spacing w:beforeLines="20" w:before="48" w:afterLines="20" w:after="48"/>
              <w:rPr>
                <w:sz w:val="21"/>
                <w:szCs w:val="21"/>
              </w:rPr>
            </w:pPr>
            <w:r w:rsidRPr="00412E59">
              <w:rPr>
                <w:sz w:val="21"/>
                <w:szCs w:val="21"/>
              </w:rPr>
              <w:t>Funding and financing – General</w:t>
            </w:r>
          </w:p>
        </w:tc>
        <w:tc>
          <w:tcPr>
            <w:tcW w:w="1140" w:type="dxa"/>
            <w:vAlign w:val="center"/>
          </w:tcPr>
          <w:p w14:paraId="602BD22F" w14:textId="1B04F887" w:rsidR="001D173F" w:rsidRPr="00412E59" w:rsidRDefault="001D173F" w:rsidP="00E01BC1">
            <w:pPr>
              <w:spacing w:beforeLines="20" w:before="48" w:afterLines="20" w:after="48"/>
              <w:rPr>
                <w:sz w:val="21"/>
                <w:szCs w:val="21"/>
              </w:rPr>
            </w:pPr>
            <w:r w:rsidRPr="00412E59">
              <w:rPr>
                <w:sz w:val="21"/>
                <w:szCs w:val="21"/>
              </w:rPr>
              <w:t>9-11</w:t>
            </w:r>
          </w:p>
        </w:tc>
        <w:tc>
          <w:tcPr>
            <w:tcW w:w="2850" w:type="dxa"/>
            <w:vMerge/>
            <w:vAlign w:val="center"/>
          </w:tcPr>
          <w:p w14:paraId="0C2B4971" w14:textId="0BFAE3DC" w:rsidR="001D173F" w:rsidRPr="00412E59" w:rsidRDefault="001D173F" w:rsidP="001D173F">
            <w:pPr>
              <w:spacing w:before="60" w:after="60"/>
              <w:rPr>
                <w:sz w:val="21"/>
                <w:szCs w:val="21"/>
              </w:rPr>
            </w:pPr>
          </w:p>
        </w:tc>
        <w:tc>
          <w:tcPr>
            <w:tcW w:w="1533" w:type="dxa"/>
            <w:vAlign w:val="center"/>
          </w:tcPr>
          <w:p w14:paraId="6DA5954E" w14:textId="72C15C20" w:rsidR="00773E03" w:rsidRPr="00412E59" w:rsidRDefault="00000000" w:rsidP="00E01BC1">
            <w:pPr>
              <w:spacing w:before="20" w:after="20"/>
              <w:rPr>
                <w:sz w:val="21"/>
                <w:szCs w:val="21"/>
              </w:rPr>
            </w:pPr>
            <w:sdt>
              <w:sdtPr>
                <w:rPr>
                  <w:sz w:val="21"/>
                  <w:szCs w:val="21"/>
                </w:rPr>
                <w:id w:val="324555003"/>
                <w14:checkbox>
                  <w14:checked w14:val="0"/>
                  <w14:checkedState w14:val="2612" w14:font="MS Gothic"/>
                  <w14:uncheckedState w14:val="2610" w14:font="MS Gothic"/>
                </w14:checkbox>
              </w:sdtPr>
              <w:sdtContent>
                <w:r w:rsidR="00DB6645">
                  <w:rPr>
                    <w:rFonts w:ascii="MS Gothic" w:eastAsia="MS Gothic" w:hAnsi="MS Gothic"/>
                    <w:sz w:val="21"/>
                    <w:szCs w:val="21"/>
                  </w:rPr>
                  <w:t>☐</w:t>
                </w:r>
              </w:sdtContent>
            </w:sdt>
            <w:r w:rsidR="00DB6645" w:rsidRPr="00412E59">
              <w:rPr>
                <w:sz w:val="21"/>
                <w:szCs w:val="21"/>
              </w:rPr>
              <w:t xml:space="preserve"> Completed</w:t>
            </w:r>
          </w:p>
        </w:tc>
      </w:tr>
      <w:tr w:rsidR="000E375F" w14:paraId="114F7E26" w14:textId="12DF02AE" w:rsidTr="7C3BE380">
        <w:trPr>
          <w:trHeight w:val="233"/>
        </w:trPr>
        <w:tc>
          <w:tcPr>
            <w:tcW w:w="2971" w:type="dxa"/>
            <w:tcBorders>
              <w:left w:val="single" w:sz="4" w:space="0" w:color="auto"/>
            </w:tcBorders>
            <w:vAlign w:val="center"/>
          </w:tcPr>
          <w:p w14:paraId="41080675" w14:textId="4A18B3BA" w:rsidR="001D173F" w:rsidRPr="00412E59" w:rsidRDefault="001D173F" w:rsidP="00E01BC1">
            <w:pPr>
              <w:spacing w:beforeLines="20" w:before="48" w:afterLines="20" w:after="48"/>
              <w:rPr>
                <w:sz w:val="21"/>
                <w:szCs w:val="21"/>
              </w:rPr>
            </w:pPr>
            <w:r w:rsidRPr="00412E59">
              <w:rPr>
                <w:sz w:val="21"/>
                <w:szCs w:val="21"/>
              </w:rPr>
              <w:t>Funding and financing – Related party financing</w:t>
            </w:r>
          </w:p>
        </w:tc>
        <w:tc>
          <w:tcPr>
            <w:tcW w:w="1140" w:type="dxa"/>
            <w:vAlign w:val="center"/>
          </w:tcPr>
          <w:p w14:paraId="6BEC86AD" w14:textId="66ED845C" w:rsidR="001D173F" w:rsidRPr="00412E59" w:rsidRDefault="001D173F" w:rsidP="00E01BC1">
            <w:pPr>
              <w:spacing w:beforeLines="20" w:before="48" w:afterLines="20" w:after="48"/>
              <w:rPr>
                <w:sz w:val="21"/>
                <w:szCs w:val="21"/>
              </w:rPr>
            </w:pPr>
            <w:r w:rsidRPr="00412E59">
              <w:rPr>
                <w:sz w:val="21"/>
                <w:szCs w:val="21"/>
              </w:rPr>
              <w:t>12-13</w:t>
            </w:r>
          </w:p>
        </w:tc>
        <w:tc>
          <w:tcPr>
            <w:tcW w:w="2850" w:type="dxa"/>
            <w:vMerge/>
            <w:vAlign w:val="center"/>
          </w:tcPr>
          <w:p w14:paraId="6BF78252" w14:textId="77777777" w:rsidR="001D173F" w:rsidRPr="00412E59" w:rsidRDefault="001D173F" w:rsidP="001D173F">
            <w:pPr>
              <w:spacing w:before="60" w:after="60"/>
              <w:rPr>
                <w:sz w:val="21"/>
                <w:szCs w:val="21"/>
              </w:rPr>
            </w:pPr>
          </w:p>
        </w:tc>
        <w:tc>
          <w:tcPr>
            <w:tcW w:w="1533" w:type="dxa"/>
            <w:vAlign w:val="center"/>
          </w:tcPr>
          <w:p w14:paraId="28AA55D8" w14:textId="1D2644FC" w:rsidR="00773E03" w:rsidRPr="00412E59" w:rsidRDefault="00000000" w:rsidP="00E01BC1">
            <w:pPr>
              <w:spacing w:before="20" w:after="20"/>
              <w:rPr>
                <w:sz w:val="21"/>
                <w:szCs w:val="21"/>
              </w:rPr>
            </w:pPr>
            <w:sdt>
              <w:sdtPr>
                <w:rPr>
                  <w:sz w:val="21"/>
                  <w:szCs w:val="21"/>
                </w:rPr>
                <w:id w:val="1704747362"/>
                <w14:checkbox>
                  <w14:checked w14:val="0"/>
                  <w14:checkedState w14:val="2612" w14:font="MS Gothic"/>
                  <w14:uncheckedState w14:val="2610" w14:font="MS Gothic"/>
                </w14:checkbox>
              </w:sdtPr>
              <w:sdtContent>
                <w:r w:rsidR="00DB6645">
                  <w:rPr>
                    <w:rFonts w:ascii="MS Gothic" w:eastAsia="MS Gothic" w:hAnsi="MS Gothic"/>
                    <w:sz w:val="21"/>
                    <w:szCs w:val="21"/>
                  </w:rPr>
                  <w:t>☐</w:t>
                </w:r>
              </w:sdtContent>
            </w:sdt>
            <w:r w:rsidR="00DB6645" w:rsidRPr="00412E59">
              <w:rPr>
                <w:sz w:val="21"/>
                <w:szCs w:val="21"/>
              </w:rPr>
              <w:t xml:space="preserve"> Completed</w:t>
            </w:r>
          </w:p>
        </w:tc>
      </w:tr>
      <w:tr w:rsidR="000E375F" w14:paraId="3DE479C7" w14:textId="4C753C05" w:rsidTr="7C3BE380">
        <w:tc>
          <w:tcPr>
            <w:tcW w:w="2971" w:type="dxa"/>
            <w:tcBorders>
              <w:left w:val="single" w:sz="4" w:space="0" w:color="auto"/>
            </w:tcBorders>
            <w:vAlign w:val="center"/>
          </w:tcPr>
          <w:p w14:paraId="752191C1" w14:textId="11B957A0" w:rsidR="001D173F" w:rsidRPr="00412E59" w:rsidRDefault="001D173F" w:rsidP="00E01BC1">
            <w:pPr>
              <w:spacing w:beforeLines="20" w:before="48" w:afterLines="20" w:after="48"/>
              <w:rPr>
                <w:sz w:val="21"/>
                <w:szCs w:val="21"/>
              </w:rPr>
            </w:pPr>
            <w:r w:rsidRPr="00412E59">
              <w:rPr>
                <w:sz w:val="21"/>
                <w:szCs w:val="21"/>
              </w:rPr>
              <w:t>Funding and financing</w:t>
            </w:r>
            <w:r w:rsidR="00071B4F" w:rsidRPr="00412E59">
              <w:rPr>
                <w:sz w:val="21"/>
                <w:szCs w:val="21"/>
              </w:rPr>
              <w:t xml:space="preserve"> </w:t>
            </w:r>
            <w:r w:rsidRPr="00412E59">
              <w:rPr>
                <w:sz w:val="21"/>
                <w:szCs w:val="21"/>
              </w:rPr>
              <w:t>– Thin capitalisation</w:t>
            </w:r>
          </w:p>
        </w:tc>
        <w:tc>
          <w:tcPr>
            <w:tcW w:w="1140" w:type="dxa"/>
            <w:vAlign w:val="center"/>
          </w:tcPr>
          <w:p w14:paraId="23E19439" w14:textId="0F7F1029" w:rsidR="001D173F" w:rsidRPr="00412E59" w:rsidRDefault="001D173F" w:rsidP="00E01BC1">
            <w:pPr>
              <w:spacing w:beforeLines="20" w:before="48" w:afterLines="20" w:after="48"/>
              <w:rPr>
                <w:sz w:val="21"/>
                <w:szCs w:val="21"/>
              </w:rPr>
            </w:pPr>
            <w:r w:rsidRPr="00412E59">
              <w:rPr>
                <w:sz w:val="21"/>
                <w:szCs w:val="21"/>
              </w:rPr>
              <w:t>14</w:t>
            </w:r>
          </w:p>
        </w:tc>
        <w:tc>
          <w:tcPr>
            <w:tcW w:w="2850" w:type="dxa"/>
            <w:vMerge/>
            <w:vAlign w:val="center"/>
          </w:tcPr>
          <w:p w14:paraId="200012F8" w14:textId="33042B2A" w:rsidR="001D173F" w:rsidRPr="00412E59" w:rsidRDefault="001D173F" w:rsidP="001D173F">
            <w:pPr>
              <w:spacing w:before="60" w:after="60"/>
              <w:rPr>
                <w:sz w:val="21"/>
                <w:szCs w:val="21"/>
              </w:rPr>
            </w:pPr>
          </w:p>
        </w:tc>
        <w:tc>
          <w:tcPr>
            <w:tcW w:w="1533" w:type="dxa"/>
            <w:vAlign w:val="center"/>
          </w:tcPr>
          <w:p w14:paraId="158D59C7" w14:textId="79A491A0" w:rsidR="00773E03" w:rsidRPr="00412E59" w:rsidRDefault="00000000" w:rsidP="00E01BC1">
            <w:pPr>
              <w:spacing w:before="20" w:after="20"/>
              <w:rPr>
                <w:sz w:val="21"/>
                <w:szCs w:val="21"/>
              </w:rPr>
            </w:pPr>
            <w:sdt>
              <w:sdtPr>
                <w:rPr>
                  <w:sz w:val="21"/>
                  <w:szCs w:val="21"/>
                </w:rPr>
                <w:id w:val="-1067337169"/>
                <w14:checkbox>
                  <w14:checked w14:val="0"/>
                  <w14:checkedState w14:val="2612" w14:font="MS Gothic"/>
                  <w14:uncheckedState w14:val="2610" w14:font="MS Gothic"/>
                </w14:checkbox>
              </w:sdtPr>
              <w:sdtContent>
                <w:r w:rsidR="00DB6645">
                  <w:rPr>
                    <w:rFonts w:ascii="MS Gothic" w:eastAsia="MS Gothic" w:hAnsi="MS Gothic"/>
                    <w:sz w:val="21"/>
                    <w:szCs w:val="21"/>
                  </w:rPr>
                  <w:t>☐</w:t>
                </w:r>
              </w:sdtContent>
            </w:sdt>
            <w:r w:rsidR="00DB6645" w:rsidRPr="00412E59">
              <w:rPr>
                <w:sz w:val="21"/>
                <w:szCs w:val="21"/>
              </w:rPr>
              <w:t xml:space="preserve"> Completed</w:t>
            </w:r>
          </w:p>
        </w:tc>
      </w:tr>
      <w:tr w:rsidR="000E375F" w14:paraId="796CBBB9" w14:textId="649F83C5" w:rsidTr="7C3BE380">
        <w:tc>
          <w:tcPr>
            <w:tcW w:w="2971" w:type="dxa"/>
            <w:tcBorders>
              <w:left w:val="single" w:sz="4" w:space="0" w:color="auto"/>
            </w:tcBorders>
            <w:vAlign w:val="center"/>
          </w:tcPr>
          <w:p w14:paraId="44D5BBF4" w14:textId="448403A6" w:rsidR="001D173F" w:rsidRPr="00412E59" w:rsidRDefault="001D173F" w:rsidP="00E01BC1">
            <w:pPr>
              <w:spacing w:beforeLines="20" w:before="48" w:afterLines="20" w:after="48"/>
              <w:rPr>
                <w:sz w:val="21"/>
                <w:szCs w:val="21"/>
              </w:rPr>
            </w:pPr>
            <w:r w:rsidRPr="00412E59">
              <w:rPr>
                <w:sz w:val="21"/>
                <w:szCs w:val="21"/>
              </w:rPr>
              <w:t>Funding and financing</w:t>
            </w:r>
            <w:r w:rsidR="00071B4F" w:rsidRPr="00412E59">
              <w:rPr>
                <w:sz w:val="21"/>
                <w:szCs w:val="21"/>
              </w:rPr>
              <w:t xml:space="preserve"> </w:t>
            </w:r>
            <w:r w:rsidRPr="00412E59">
              <w:rPr>
                <w:sz w:val="21"/>
                <w:szCs w:val="21"/>
              </w:rPr>
              <w:t xml:space="preserve">– Debt deduction creation rules </w:t>
            </w:r>
          </w:p>
        </w:tc>
        <w:tc>
          <w:tcPr>
            <w:tcW w:w="1140" w:type="dxa"/>
            <w:vAlign w:val="center"/>
          </w:tcPr>
          <w:p w14:paraId="5698526F" w14:textId="7A7278E5" w:rsidR="001D173F" w:rsidRPr="00412E59" w:rsidRDefault="001D173F" w:rsidP="00E01BC1">
            <w:pPr>
              <w:spacing w:beforeLines="20" w:before="48" w:afterLines="20" w:after="48"/>
              <w:rPr>
                <w:sz w:val="21"/>
                <w:szCs w:val="21"/>
              </w:rPr>
            </w:pPr>
            <w:r w:rsidRPr="00412E59">
              <w:rPr>
                <w:sz w:val="21"/>
                <w:szCs w:val="21"/>
              </w:rPr>
              <w:t>15</w:t>
            </w:r>
          </w:p>
        </w:tc>
        <w:tc>
          <w:tcPr>
            <w:tcW w:w="2850" w:type="dxa"/>
            <w:vMerge/>
            <w:vAlign w:val="center"/>
          </w:tcPr>
          <w:p w14:paraId="2C9F6183" w14:textId="7FC1422A" w:rsidR="001D173F" w:rsidRPr="00412E59" w:rsidRDefault="001D173F" w:rsidP="001D173F">
            <w:pPr>
              <w:spacing w:before="60" w:after="60"/>
              <w:rPr>
                <w:rFonts w:cs="Calibri Light"/>
                <w:color w:val="000000"/>
                <w:sz w:val="21"/>
                <w:szCs w:val="21"/>
              </w:rPr>
            </w:pPr>
          </w:p>
        </w:tc>
        <w:tc>
          <w:tcPr>
            <w:tcW w:w="1533" w:type="dxa"/>
            <w:vAlign w:val="center"/>
          </w:tcPr>
          <w:p w14:paraId="2C57D957" w14:textId="619747AD" w:rsidR="00773E03" w:rsidRPr="00412E59" w:rsidRDefault="00000000" w:rsidP="00E01BC1">
            <w:pPr>
              <w:spacing w:before="20" w:after="20"/>
              <w:rPr>
                <w:rFonts w:cs="Calibri Light"/>
                <w:color w:val="000000"/>
                <w:sz w:val="21"/>
                <w:szCs w:val="21"/>
              </w:rPr>
            </w:pPr>
            <w:sdt>
              <w:sdtPr>
                <w:rPr>
                  <w:sz w:val="21"/>
                  <w:szCs w:val="21"/>
                </w:rPr>
                <w:id w:val="1927694792"/>
                <w14:checkbox>
                  <w14:checked w14:val="0"/>
                  <w14:checkedState w14:val="2612" w14:font="MS Gothic"/>
                  <w14:uncheckedState w14:val="2610" w14:font="MS Gothic"/>
                </w14:checkbox>
              </w:sdtPr>
              <w:sdtContent>
                <w:r w:rsidR="00DB6645">
                  <w:rPr>
                    <w:rFonts w:ascii="MS Gothic" w:eastAsia="MS Gothic" w:hAnsi="MS Gothic"/>
                    <w:sz w:val="21"/>
                    <w:szCs w:val="21"/>
                  </w:rPr>
                  <w:t>☐</w:t>
                </w:r>
              </w:sdtContent>
            </w:sdt>
            <w:r w:rsidR="00DB6645" w:rsidRPr="00412E59">
              <w:rPr>
                <w:sz w:val="21"/>
                <w:szCs w:val="21"/>
              </w:rPr>
              <w:t xml:space="preserve"> Completed</w:t>
            </w:r>
          </w:p>
        </w:tc>
      </w:tr>
      <w:tr w:rsidR="001D173F" w:rsidRPr="004853C3" w14:paraId="3E836FF3" w14:textId="3BE67D89" w:rsidTr="20E141B2">
        <w:tc>
          <w:tcPr>
            <w:tcW w:w="8494" w:type="dxa"/>
            <w:gridSpan w:val="4"/>
            <w:shd w:val="clear" w:color="auto" w:fill="F2F2F2" w:themeFill="background1" w:themeFillShade="F2"/>
            <w:vAlign w:val="center"/>
          </w:tcPr>
          <w:p w14:paraId="4A9971F0" w14:textId="122CE859" w:rsidR="00773E03" w:rsidRPr="00412E59" w:rsidRDefault="00D63B84" w:rsidP="001D173F">
            <w:pPr>
              <w:spacing w:before="60" w:after="60"/>
              <w:jc w:val="center"/>
              <w:rPr>
                <w:b/>
                <w:sz w:val="21"/>
                <w:szCs w:val="21"/>
              </w:rPr>
            </w:pPr>
            <w:r w:rsidRPr="00412E59">
              <w:rPr>
                <w:b/>
                <w:sz w:val="21"/>
                <w:szCs w:val="21"/>
              </w:rPr>
              <w:t>Sections to be completed if applicable to your transaction</w:t>
            </w:r>
          </w:p>
        </w:tc>
      </w:tr>
      <w:tr w:rsidR="006839E1" w14:paraId="74F10112" w14:textId="17A8B771" w:rsidTr="7C3BE380">
        <w:tc>
          <w:tcPr>
            <w:tcW w:w="2971" w:type="dxa"/>
            <w:tcBorders>
              <w:left w:val="single" w:sz="4" w:space="0" w:color="auto"/>
            </w:tcBorders>
            <w:vAlign w:val="center"/>
          </w:tcPr>
          <w:p w14:paraId="57C961F1" w14:textId="119BDAB1" w:rsidR="001D173F" w:rsidRPr="00412E59" w:rsidRDefault="001D173F" w:rsidP="00E01BC1">
            <w:pPr>
              <w:spacing w:before="20" w:after="20"/>
              <w:rPr>
                <w:sz w:val="21"/>
                <w:szCs w:val="21"/>
              </w:rPr>
            </w:pPr>
            <w:r w:rsidRPr="00412E59">
              <w:rPr>
                <w:sz w:val="21"/>
                <w:szCs w:val="21"/>
              </w:rPr>
              <w:t>Funding and financing</w:t>
            </w:r>
            <w:r w:rsidR="00071B4F" w:rsidRPr="00412E59">
              <w:rPr>
                <w:sz w:val="21"/>
                <w:szCs w:val="21"/>
              </w:rPr>
              <w:t xml:space="preserve"> </w:t>
            </w:r>
            <w:r w:rsidRPr="00412E59">
              <w:rPr>
                <w:sz w:val="21"/>
                <w:szCs w:val="21"/>
              </w:rPr>
              <w:t>– Interest withholding tax exemption and the public offer test</w:t>
            </w:r>
          </w:p>
        </w:tc>
        <w:tc>
          <w:tcPr>
            <w:tcW w:w="1140" w:type="dxa"/>
            <w:vAlign w:val="center"/>
          </w:tcPr>
          <w:p w14:paraId="63BF307E" w14:textId="30B92EC8" w:rsidR="001D173F" w:rsidRPr="00412E59" w:rsidRDefault="001D173F" w:rsidP="00E01BC1">
            <w:pPr>
              <w:spacing w:before="20" w:after="20"/>
              <w:rPr>
                <w:sz w:val="21"/>
                <w:szCs w:val="21"/>
              </w:rPr>
            </w:pPr>
            <w:r w:rsidRPr="00412E59">
              <w:rPr>
                <w:sz w:val="21"/>
                <w:szCs w:val="21"/>
              </w:rPr>
              <w:t>16</w:t>
            </w:r>
          </w:p>
        </w:tc>
        <w:tc>
          <w:tcPr>
            <w:tcW w:w="2850" w:type="dxa"/>
            <w:vAlign w:val="center"/>
          </w:tcPr>
          <w:p w14:paraId="38B438BA" w14:textId="06813BD5" w:rsidR="001D173F" w:rsidRPr="00412E59" w:rsidRDefault="001D173F" w:rsidP="00E01BC1">
            <w:pPr>
              <w:spacing w:before="20" w:after="20"/>
              <w:rPr>
                <w:rFonts w:cs="Calibri Light"/>
                <w:color w:val="000000"/>
                <w:sz w:val="21"/>
                <w:szCs w:val="21"/>
              </w:rPr>
            </w:pPr>
            <w:r w:rsidRPr="00412E59">
              <w:rPr>
                <w:rFonts w:cs="Calibri Light"/>
                <w:color w:val="000000"/>
                <w:sz w:val="21"/>
                <w:szCs w:val="21"/>
              </w:rPr>
              <w:t xml:space="preserve">Complete this section only if the public offer test exemption for interest withholding tax is being relied upon. </w:t>
            </w:r>
          </w:p>
        </w:tc>
        <w:tc>
          <w:tcPr>
            <w:tcW w:w="1533" w:type="dxa"/>
            <w:vAlign w:val="center"/>
          </w:tcPr>
          <w:p w14:paraId="759ECB30" w14:textId="27BB3B20" w:rsidR="00D63B84" w:rsidRPr="00412E59" w:rsidRDefault="00000000" w:rsidP="00E01BC1">
            <w:pPr>
              <w:spacing w:before="0" w:after="0"/>
              <w:rPr>
                <w:rFonts w:cs="Calibri Light"/>
                <w:color w:val="000000"/>
                <w:sz w:val="21"/>
                <w:szCs w:val="21"/>
              </w:rPr>
            </w:pPr>
            <w:sdt>
              <w:sdtPr>
                <w:rPr>
                  <w:rFonts w:cs="Calibri Light"/>
                  <w:color w:val="000000"/>
                  <w:sz w:val="21"/>
                  <w:szCs w:val="21"/>
                </w:rPr>
                <w:id w:val="1498843120"/>
                <w14:checkbox>
                  <w14:checked w14:val="0"/>
                  <w14:checkedState w14:val="2612" w14:font="MS Gothic"/>
                  <w14:uncheckedState w14:val="2610" w14:font="MS Gothic"/>
                </w14:checkbox>
              </w:sdtPr>
              <w:sdtContent>
                <w:r w:rsidR="00D63B84">
                  <w:rPr>
                    <w:rFonts w:ascii="MS Gothic" w:eastAsia="MS Gothic" w:hAnsi="MS Gothic" w:cs="Calibri Light"/>
                    <w:color w:val="000000"/>
                    <w:sz w:val="21"/>
                    <w:szCs w:val="21"/>
                  </w:rPr>
                  <w:t>☐</w:t>
                </w:r>
              </w:sdtContent>
            </w:sdt>
            <w:r w:rsidR="00D63B84" w:rsidRPr="00412E59">
              <w:rPr>
                <w:rFonts w:cs="Calibri Light"/>
                <w:color w:val="000000"/>
                <w:sz w:val="21"/>
                <w:szCs w:val="21"/>
              </w:rPr>
              <w:t xml:space="preserve"> Completed</w:t>
            </w:r>
          </w:p>
          <w:p w14:paraId="18C3CD3E" w14:textId="5C448CB9" w:rsidR="00773E03" w:rsidRPr="00412E59" w:rsidRDefault="00000000" w:rsidP="00E01BC1">
            <w:pPr>
              <w:spacing w:before="0" w:after="0"/>
              <w:rPr>
                <w:rFonts w:cs="Calibri Light"/>
                <w:color w:val="000000"/>
                <w:sz w:val="21"/>
                <w:szCs w:val="21"/>
              </w:rPr>
            </w:pPr>
            <w:sdt>
              <w:sdtPr>
                <w:rPr>
                  <w:rFonts w:cs="Calibri Light"/>
                  <w:color w:val="000000"/>
                  <w:sz w:val="21"/>
                  <w:szCs w:val="21"/>
                </w:rPr>
                <w:id w:val="-1109196992"/>
                <w14:checkbox>
                  <w14:checked w14:val="0"/>
                  <w14:checkedState w14:val="2612" w14:font="MS Gothic"/>
                  <w14:uncheckedState w14:val="2610" w14:font="MS Gothic"/>
                </w14:checkbox>
              </w:sdtPr>
              <w:sdtContent>
                <w:r w:rsidR="00D63B84">
                  <w:rPr>
                    <w:rFonts w:ascii="MS Gothic" w:eastAsia="MS Gothic" w:hAnsi="MS Gothic" w:cs="Calibri Light"/>
                    <w:color w:val="000000"/>
                    <w:sz w:val="21"/>
                    <w:szCs w:val="21"/>
                  </w:rPr>
                  <w:t>☐</w:t>
                </w:r>
              </w:sdtContent>
            </w:sdt>
            <w:r w:rsidR="00D63B84" w:rsidRPr="00412E59">
              <w:rPr>
                <w:rFonts w:cs="Calibri Light"/>
                <w:color w:val="000000"/>
                <w:sz w:val="21"/>
                <w:szCs w:val="21"/>
              </w:rPr>
              <w:t xml:space="preserve"> N/A</w:t>
            </w:r>
          </w:p>
        </w:tc>
      </w:tr>
      <w:tr w:rsidR="006839E1" w14:paraId="3EDC28D9" w14:textId="2673E3E2" w:rsidTr="7C3BE380">
        <w:tc>
          <w:tcPr>
            <w:tcW w:w="2971" w:type="dxa"/>
            <w:tcBorders>
              <w:left w:val="single" w:sz="4" w:space="0" w:color="auto"/>
            </w:tcBorders>
            <w:vAlign w:val="center"/>
          </w:tcPr>
          <w:p w14:paraId="74FEC086" w14:textId="1C6A3024" w:rsidR="001D173F" w:rsidRPr="00412E59" w:rsidRDefault="001D173F" w:rsidP="00E01BC1">
            <w:pPr>
              <w:spacing w:before="20" w:after="20"/>
              <w:rPr>
                <w:sz w:val="21"/>
                <w:szCs w:val="21"/>
              </w:rPr>
            </w:pPr>
            <w:r w:rsidRPr="00412E59">
              <w:rPr>
                <w:sz w:val="21"/>
                <w:szCs w:val="21"/>
              </w:rPr>
              <w:t>Private capital considerations</w:t>
            </w:r>
          </w:p>
        </w:tc>
        <w:tc>
          <w:tcPr>
            <w:tcW w:w="1140" w:type="dxa"/>
            <w:vAlign w:val="center"/>
          </w:tcPr>
          <w:p w14:paraId="6C2CBE8D" w14:textId="4469C27A" w:rsidR="001D173F" w:rsidRPr="00412E59" w:rsidRDefault="001D173F" w:rsidP="00E01BC1">
            <w:pPr>
              <w:spacing w:before="20" w:after="20"/>
              <w:rPr>
                <w:sz w:val="21"/>
                <w:szCs w:val="21"/>
              </w:rPr>
            </w:pPr>
            <w:r w:rsidRPr="00412E59">
              <w:rPr>
                <w:sz w:val="21"/>
                <w:szCs w:val="21"/>
              </w:rPr>
              <w:t>17-21</w:t>
            </w:r>
          </w:p>
        </w:tc>
        <w:tc>
          <w:tcPr>
            <w:tcW w:w="2850" w:type="dxa"/>
            <w:vAlign w:val="center"/>
          </w:tcPr>
          <w:p w14:paraId="0B971A64" w14:textId="0ED0D2BB" w:rsidR="001D173F" w:rsidRPr="00412E59" w:rsidRDefault="001D173F" w:rsidP="00E01BC1">
            <w:pPr>
              <w:spacing w:before="20" w:after="20"/>
              <w:rPr>
                <w:sz w:val="21"/>
                <w:szCs w:val="21"/>
              </w:rPr>
            </w:pPr>
            <w:r w:rsidRPr="00412E59">
              <w:rPr>
                <w:rFonts w:cs="Calibri Light"/>
                <w:color w:val="000000"/>
                <w:sz w:val="21"/>
                <w:szCs w:val="21"/>
              </w:rPr>
              <w:t xml:space="preserve">Complete this section only if private equity, venture capital, or private capital funds </w:t>
            </w:r>
            <w:r w:rsidRPr="00412E59">
              <w:rPr>
                <w:sz w:val="21"/>
                <w:szCs w:val="21"/>
              </w:rPr>
              <w:t xml:space="preserve">(including infrastructure funds) </w:t>
            </w:r>
            <w:r w:rsidRPr="00412E59">
              <w:rPr>
                <w:rFonts w:cs="Calibri Light"/>
                <w:color w:val="000000"/>
                <w:sz w:val="21"/>
                <w:szCs w:val="21"/>
              </w:rPr>
              <w:t>are participating in the transaction (whether directly or indirectly).</w:t>
            </w:r>
          </w:p>
        </w:tc>
        <w:tc>
          <w:tcPr>
            <w:tcW w:w="1533" w:type="dxa"/>
            <w:vAlign w:val="center"/>
          </w:tcPr>
          <w:p w14:paraId="06321BB6" w14:textId="77777777" w:rsidR="00D63B84" w:rsidRPr="00412E59" w:rsidRDefault="00000000" w:rsidP="00E01BC1">
            <w:pPr>
              <w:spacing w:before="0" w:after="0"/>
              <w:rPr>
                <w:rFonts w:cs="Calibri Light"/>
                <w:color w:val="000000"/>
                <w:sz w:val="21"/>
                <w:szCs w:val="21"/>
              </w:rPr>
            </w:pPr>
            <w:sdt>
              <w:sdtPr>
                <w:rPr>
                  <w:rFonts w:cs="Calibri Light"/>
                  <w:color w:val="000000"/>
                  <w:sz w:val="21"/>
                  <w:szCs w:val="21"/>
                </w:rPr>
                <w:id w:val="1481958784"/>
                <w14:checkbox>
                  <w14:checked w14:val="0"/>
                  <w14:checkedState w14:val="2612" w14:font="MS Gothic"/>
                  <w14:uncheckedState w14:val="2610" w14:font="MS Gothic"/>
                </w14:checkbox>
              </w:sdtPr>
              <w:sdtContent>
                <w:r w:rsidR="00D63B84">
                  <w:rPr>
                    <w:rFonts w:ascii="MS Gothic" w:eastAsia="MS Gothic" w:hAnsi="MS Gothic" w:cs="Calibri Light"/>
                    <w:color w:val="000000"/>
                    <w:sz w:val="21"/>
                    <w:szCs w:val="21"/>
                  </w:rPr>
                  <w:t>☐</w:t>
                </w:r>
              </w:sdtContent>
            </w:sdt>
            <w:r w:rsidR="00D63B84" w:rsidRPr="00412E59">
              <w:rPr>
                <w:rFonts w:cs="Calibri Light"/>
                <w:color w:val="000000"/>
                <w:sz w:val="21"/>
                <w:szCs w:val="21"/>
              </w:rPr>
              <w:t xml:space="preserve"> Completed</w:t>
            </w:r>
          </w:p>
          <w:p w14:paraId="16E59803" w14:textId="4B5DC6F2" w:rsidR="00773E03" w:rsidRPr="00412E59" w:rsidRDefault="00000000" w:rsidP="00E01BC1">
            <w:pPr>
              <w:spacing w:before="20" w:after="20"/>
              <w:rPr>
                <w:rFonts w:cs="Calibri Light"/>
                <w:color w:val="000000"/>
                <w:sz w:val="21"/>
                <w:szCs w:val="21"/>
              </w:rPr>
            </w:pPr>
            <w:sdt>
              <w:sdtPr>
                <w:rPr>
                  <w:rFonts w:cs="Calibri Light"/>
                  <w:color w:val="000000"/>
                  <w:sz w:val="21"/>
                  <w:szCs w:val="21"/>
                </w:rPr>
                <w:id w:val="-1199699001"/>
                <w14:checkbox>
                  <w14:checked w14:val="0"/>
                  <w14:checkedState w14:val="2612" w14:font="MS Gothic"/>
                  <w14:uncheckedState w14:val="2610" w14:font="MS Gothic"/>
                </w14:checkbox>
              </w:sdtPr>
              <w:sdtContent>
                <w:r w:rsidR="00D63B84">
                  <w:rPr>
                    <w:rFonts w:ascii="MS Gothic" w:eastAsia="MS Gothic" w:hAnsi="MS Gothic" w:cs="Calibri Light"/>
                    <w:color w:val="000000"/>
                    <w:sz w:val="21"/>
                    <w:szCs w:val="21"/>
                  </w:rPr>
                  <w:t>☐</w:t>
                </w:r>
              </w:sdtContent>
            </w:sdt>
            <w:r w:rsidR="00D63B84" w:rsidRPr="00412E59">
              <w:rPr>
                <w:rFonts w:cs="Calibri Light"/>
                <w:color w:val="000000"/>
                <w:sz w:val="21"/>
                <w:szCs w:val="21"/>
              </w:rPr>
              <w:t xml:space="preserve"> N/A</w:t>
            </w:r>
          </w:p>
        </w:tc>
      </w:tr>
      <w:tr w:rsidR="006839E1" w14:paraId="3521E886" w14:textId="3529E06C" w:rsidTr="7C3BE380">
        <w:tc>
          <w:tcPr>
            <w:tcW w:w="2971" w:type="dxa"/>
            <w:tcBorders>
              <w:left w:val="single" w:sz="4" w:space="0" w:color="auto"/>
            </w:tcBorders>
            <w:vAlign w:val="center"/>
          </w:tcPr>
          <w:p w14:paraId="462E3DD0" w14:textId="4DCA592E" w:rsidR="001D173F" w:rsidRPr="00412E59" w:rsidRDefault="001D173F" w:rsidP="00E01BC1">
            <w:pPr>
              <w:spacing w:before="20" w:after="20"/>
              <w:rPr>
                <w:sz w:val="21"/>
                <w:szCs w:val="21"/>
              </w:rPr>
            </w:pPr>
            <w:r w:rsidRPr="00412E59">
              <w:rPr>
                <w:sz w:val="21"/>
                <w:szCs w:val="21"/>
              </w:rPr>
              <w:t>Intangible asset migration</w:t>
            </w:r>
          </w:p>
        </w:tc>
        <w:tc>
          <w:tcPr>
            <w:tcW w:w="1140" w:type="dxa"/>
            <w:vAlign w:val="center"/>
          </w:tcPr>
          <w:p w14:paraId="770624F5" w14:textId="2027263F" w:rsidR="001D173F" w:rsidRPr="00412E59" w:rsidRDefault="001D173F" w:rsidP="00E01BC1">
            <w:pPr>
              <w:spacing w:before="20" w:after="20"/>
              <w:rPr>
                <w:sz w:val="21"/>
                <w:szCs w:val="21"/>
              </w:rPr>
            </w:pPr>
            <w:r w:rsidRPr="00412E59">
              <w:rPr>
                <w:sz w:val="21"/>
                <w:szCs w:val="21"/>
              </w:rPr>
              <w:t>22-23</w:t>
            </w:r>
          </w:p>
        </w:tc>
        <w:tc>
          <w:tcPr>
            <w:tcW w:w="2850" w:type="dxa"/>
            <w:vAlign w:val="center"/>
          </w:tcPr>
          <w:p w14:paraId="41C4C763" w14:textId="45E2D18A" w:rsidR="001D173F" w:rsidRPr="00412E59" w:rsidRDefault="001D173F" w:rsidP="00E01BC1">
            <w:pPr>
              <w:spacing w:before="20" w:after="20"/>
              <w:rPr>
                <w:sz w:val="21"/>
                <w:szCs w:val="21"/>
              </w:rPr>
            </w:pPr>
            <w:r w:rsidRPr="00412E59">
              <w:rPr>
                <w:rFonts w:cs="Calibri Light"/>
                <w:color w:val="000000"/>
                <w:sz w:val="21"/>
                <w:szCs w:val="21"/>
              </w:rPr>
              <w:t>Complete this section only if the transaction includes targets that have intangible assets or agreements related to intangibles.</w:t>
            </w:r>
          </w:p>
        </w:tc>
        <w:tc>
          <w:tcPr>
            <w:tcW w:w="1533" w:type="dxa"/>
            <w:vAlign w:val="center"/>
          </w:tcPr>
          <w:p w14:paraId="390489C8" w14:textId="77777777" w:rsidR="00D63B84" w:rsidRPr="00412E59" w:rsidRDefault="00000000" w:rsidP="00E01BC1">
            <w:pPr>
              <w:spacing w:before="0" w:after="0"/>
              <w:rPr>
                <w:rFonts w:cs="Calibri Light"/>
                <w:color w:val="000000"/>
                <w:sz w:val="21"/>
                <w:szCs w:val="21"/>
              </w:rPr>
            </w:pPr>
            <w:sdt>
              <w:sdtPr>
                <w:rPr>
                  <w:rFonts w:cs="Calibri Light"/>
                  <w:color w:val="000000"/>
                  <w:sz w:val="21"/>
                  <w:szCs w:val="21"/>
                </w:rPr>
                <w:id w:val="-817115693"/>
                <w14:checkbox>
                  <w14:checked w14:val="0"/>
                  <w14:checkedState w14:val="2612" w14:font="MS Gothic"/>
                  <w14:uncheckedState w14:val="2610" w14:font="MS Gothic"/>
                </w14:checkbox>
              </w:sdtPr>
              <w:sdtContent>
                <w:r w:rsidR="00D63B84">
                  <w:rPr>
                    <w:rFonts w:ascii="MS Gothic" w:eastAsia="MS Gothic" w:hAnsi="MS Gothic" w:cs="Calibri Light"/>
                    <w:color w:val="000000"/>
                    <w:sz w:val="21"/>
                    <w:szCs w:val="21"/>
                  </w:rPr>
                  <w:t>☐</w:t>
                </w:r>
              </w:sdtContent>
            </w:sdt>
            <w:r w:rsidR="00D63B84" w:rsidRPr="00412E59">
              <w:rPr>
                <w:rFonts w:cs="Calibri Light"/>
                <w:color w:val="000000"/>
                <w:sz w:val="21"/>
                <w:szCs w:val="21"/>
              </w:rPr>
              <w:t xml:space="preserve"> Completed</w:t>
            </w:r>
          </w:p>
          <w:p w14:paraId="4709A65E" w14:textId="7E269BB0" w:rsidR="00773E03" w:rsidRPr="00412E59" w:rsidRDefault="00000000" w:rsidP="00E01BC1">
            <w:pPr>
              <w:spacing w:before="20" w:after="20"/>
              <w:rPr>
                <w:rFonts w:cs="Calibri Light"/>
                <w:color w:val="000000"/>
                <w:sz w:val="21"/>
                <w:szCs w:val="21"/>
              </w:rPr>
            </w:pPr>
            <w:sdt>
              <w:sdtPr>
                <w:rPr>
                  <w:rFonts w:cs="Calibri Light"/>
                  <w:color w:val="000000"/>
                  <w:sz w:val="21"/>
                  <w:szCs w:val="21"/>
                </w:rPr>
                <w:id w:val="-2132549234"/>
                <w14:checkbox>
                  <w14:checked w14:val="0"/>
                  <w14:checkedState w14:val="2612" w14:font="MS Gothic"/>
                  <w14:uncheckedState w14:val="2610" w14:font="MS Gothic"/>
                </w14:checkbox>
              </w:sdtPr>
              <w:sdtContent>
                <w:r w:rsidR="00D63B84">
                  <w:rPr>
                    <w:rFonts w:ascii="MS Gothic" w:eastAsia="MS Gothic" w:hAnsi="MS Gothic" w:cs="Calibri Light"/>
                    <w:color w:val="000000"/>
                    <w:sz w:val="21"/>
                    <w:szCs w:val="21"/>
                  </w:rPr>
                  <w:t>☐</w:t>
                </w:r>
              </w:sdtContent>
            </w:sdt>
            <w:r w:rsidR="00D63B84" w:rsidRPr="00412E59">
              <w:rPr>
                <w:rFonts w:cs="Calibri Light"/>
                <w:color w:val="000000"/>
                <w:sz w:val="21"/>
                <w:szCs w:val="21"/>
              </w:rPr>
              <w:t xml:space="preserve"> N/A</w:t>
            </w:r>
          </w:p>
        </w:tc>
      </w:tr>
      <w:tr w:rsidR="000E375F" w14:paraId="732C1FEA" w14:textId="6F34BEE3" w:rsidTr="7C3BE380">
        <w:tc>
          <w:tcPr>
            <w:tcW w:w="2971" w:type="dxa"/>
            <w:tcBorders>
              <w:left w:val="single" w:sz="4" w:space="0" w:color="auto"/>
            </w:tcBorders>
            <w:vAlign w:val="center"/>
          </w:tcPr>
          <w:p w14:paraId="21AD17BF" w14:textId="5B70AA91" w:rsidR="00A41FB8" w:rsidRPr="00412E59" w:rsidRDefault="00A41FB8" w:rsidP="00E01BC1">
            <w:pPr>
              <w:spacing w:before="20" w:after="20"/>
              <w:rPr>
                <w:sz w:val="21"/>
                <w:szCs w:val="21"/>
              </w:rPr>
            </w:pPr>
            <w:r w:rsidRPr="00412E59">
              <w:rPr>
                <w:sz w:val="21"/>
                <w:szCs w:val="21"/>
              </w:rPr>
              <w:t xml:space="preserve">Managed Investment Trusts </w:t>
            </w:r>
          </w:p>
        </w:tc>
        <w:tc>
          <w:tcPr>
            <w:tcW w:w="1140" w:type="dxa"/>
            <w:vAlign w:val="center"/>
          </w:tcPr>
          <w:p w14:paraId="0874BA87" w14:textId="4203C509" w:rsidR="00A41FB8" w:rsidRPr="00412E59" w:rsidRDefault="00A41FB8" w:rsidP="00E01BC1">
            <w:pPr>
              <w:spacing w:before="20" w:after="20"/>
              <w:rPr>
                <w:sz w:val="21"/>
                <w:szCs w:val="21"/>
              </w:rPr>
            </w:pPr>
            <w:r w:rsidRPr="00412E59">
              <w:rPr>
                <w:sz w:val="21"/>
                <w:szCs w:val="21"/>
              </w:rPr>
              <w:t>24</w:t>
            </w:r>
          </w:p>
        </w:tc>
        <w:tc>
          <w:tcPr>
            <w:tcW w:w="2850" w:type="dxa"/>
            <w:vAlign w:val="center"/>
          </w:tcPr>
          <w:p w14:paraId="0124931B" w14:textId="6715DDD5" w:rsidR="00A41FB8" w:rsidRPr="00412E59" w:rsidRDefault="00A41FB8" w:rsidP="00E01BC1">
            <w:pPr>
              <w:spacing w:before="20" w:after="20"/>
              <w:rPr>
                <w:rFonts w:cs="Calibri Light"/>
                <w:color w:val="000000"/>
                <w:sz w:val="21"/>
                <w:szCs w:val="21"/>
              </w:rPr>
            </w:pPr>
            <w:r w:rsidRPr="00412E59">
              <w:rPr>
                <w:rFonts w:cs="Calibri Light"/>
                <w:color w:val="000000"/>
                <w:sz w:val="21"/>
                <w:szCs w:val="21"/>
              </w:rPr>
              <w:t>Complete this section only if the Transaction involves managed investment trusts.</w:t>
            </w:r>
          </w:p>
        </w:tc>
        <w:tc>
          <w:tcPr>
            <w:tcW w:w="1533" w:type="dxa"/>
            <w:vAlign w:val="center"/>
          </w:tcPr>
          <w:p w14:paraId="12A0D3C0" w14:textId="77777777" w:rsidR="00D63B84" w:rsidRPr="00412E59" w:rsidRDefault="00000000" w:rsidP="00E01BC1">
            <w:pPr>
              <w:spacing w:before="0" w:after="0"/>
              <w:rPr>
                <w:rFonts w:cs="Calibri Light"/>
                <w:color w:val="000000"/>
                <w:sz w:val="21"/>
                <w:szCs w:val="21"/>
              </w:rPr>
            </w:pPr>
            <w:sdt>
              <w:sdtPr>
                <w:rPr>
                  <w:rFonts w:cs="Calibri Light"/>
                  <w:color w:val="000000"/>
                  <w:sz w:val="21"/>
                  <w:szCs w:val="21"/>
                </w:rPr>
                <w:id w:val="1415513156"/>
                <w14:checkbox>
                  <w14:checked w14:val="0"/>
                  <w14:checkedState w14:val="2612" w14:font="MS Gothic"/>
                  <w14:uncheckedState w14:val="2610" w14:font="MS Gothic"/>
                </w14:checkbox>
              </w:sdtPr>
              <w:sdtContent>
                <w:r w:rsidR="00D63B84">
                  <w:rPr>
                    <w:rFonts w:ascii="MS Gothic" w:eastAsia="MS Gothic" w:hAnsi="MS Gothic" w:cs="Calibri Light"/>
                    <w:color w:val="000000"/>
                    <w:sz w:val="21"/>
                    <w:szCs w:val="21"/>
                  </w:rPr>
                  <w:t>☐</w:t>
                </w:r>
              </w:sdtContent>
            </w:sdt>
            <w:r w:rsidR="00D63B84" w:rsidRPr="00412E59">
              <w:rPr>
                <w:rFonts w:cs="Calibri Light"/>
                <w:color w:val="000000"/>
                <w:sz w:val="21"/>
                <w:szCs w:val="21"/>
              </w:rPr>
              <w:t xml:space="preserve"> Completed</w:t>
            </w:r>
          </w:p>
          <w:p w14:paraId="07E2CF00" w14:textId="3EE83355" w:rsidR="00773E03" w:rsidRPr="00412E59" w:rsidRDefault="00000000" w:rsidP="00E01BC1">
            <w:pPr>
              <w:spacing w:before="20" w:after="20"/>
              <w:rPr>
                <w:rFonts w:cs="Calibri Light"/>
                <w:color w:val="000000"/>
                <w:sz w:val="21"/>
                <w:szCs w:val="21"/>
              </w:rPr>
            </w:pPr>
            <w:sdt>
              <w:sdtPr>
                <w:rPr>
                  <w:rFonts w:cs="Calibri Light"/>
                  <w:color w:val="000000"/>
                  <w:sz w:val="21"/>
                  <w:szCs w:val="21"/>
                </w:rPr>
                <w:id w:val="-77981749"/>
                <w14:checkbox>
                  <w14:checked w14:val="0"/>
                  <w14:checkedState w14:val="2612" w14:font="MS Gothic"/>
                  <w14:uncheckedState w14:val="2610" w14:font="MS Gothic"/>
                </w14:checkbox>
              </w:sdtPr>
              <w:sdtContent>
                <w:r w:rsidR="00D63B84">
                  <w:rPr>
                    <w:rFonts w:ascii="MS Gothic" w:eastAsia="MS Gothic" w:hAnsi="MS Gothic" w:cs="Calibri Light"/>
                    <w:color w:val="000000"/>
                    <w:sz w:val="21"/>
                    <w:szCs w:val="21"/>
                  </w:rPr>
                  <w:t>☐</w:t>
                </w:r>
              </w:sdtContent>
            </w:sdt>
            <w:r w:rsidR="00D63B84" w:rsidRPr="00412E59">
              <w:rPr>
                <w:rFonts w:cs="Calibri Light"/>
                <w:color w:val="000000"/>
                <w:sz w:val="21"/>
                <w:szCs w:val="21"/>
              </w:rPr>
              <w:t xml:space="preserve"> N/A</w:t>
            </w:r>
          </w:p>
        </w:tc>
      </w:tr>
      <w:tr w:rsidR="006839E1" w14:paraId="6BC7A47B" w14:textId="54403563" w:rsidTr="7C3BE380">
        <w:tc>
          <w:tcPr>
            <w:tcW w:w="2971" w:type="dxa"/>
            <w:tcBorders>
              <w:left w:val="single" w:sz="4" w:space="0" w:color="auto"/>
            </w:tcBorders>
            <w:vAlign w:val="center"/>
          </w:tcPr>
          <w:p w14:paraId="6374DEB6" w14:textId="36604B5E" w:rsidR="001D173F" w:rsidRPr="00412E59" w:rsidRDefault="001D173F" w:rsidP="00E01BC1">
            <w:pPr>
              <w:spacing w:before="20" w:after="20"/>
              <w:rPr>
                <w:sz w:val="21"/>
                <w:szCs w:val="21"/>
              </w:rPr>
            </w:pPr>
            <w:r w:rsidRPr="00412E59">
              <w:rPr>
                <w:sz w:val="21"/>
                <w:szCs w:val="21"/>
              </w:rPr>
              <w:t>Non</w:t>
            </w:r>
            <w:r w:rsidRPr="00412E59">
              <w:rPr>
                <w:sz w:val="21"/>
                <w:szCs w:val="21"/>
              </w:rPr>
              <w:noBreakHyphen/>
              <w:t>concessional Managed Investment Trust income</w:t>
            </w:r>
          </w:p>
        </w:tc>
        <w:tc>
          <w:tcPr>
            <w:tcW w:w="1140" w:type="dxa"/>
            <w:vAlign w:val="center"/>
          </w:tcPr>
          <w:p w14:paraId="1590D9AA" w14:textId="5D890D5C" w:rsidR="001D173F" w:rsidRPr="00412E59" w:rsidRDefault="001D173F" w:rsidP="00E01BC1">
            <w:pPr>
              <w:spacing w:before="20" w:after="20"/>
              <w:rPr>
                <w:sz w:val="21"/>
                <w:szCs w:val="21"/>
              </w:rPr>
            </w:pPr>
            <w:r w:rsidRPr="00412E59">
              <w:rPr>
                <w:sz w:val="21"/>
                <w:szCs w:val="21"/>
              </w:rPr>
              <w:t>2</w:t>
            </w:r>
            <w:r w:rsidR="00A41FB8" w:rsidRPr="00412E59">
              <w:rPr>
                <w:sz w:val="21"/>
                <w:szCs w:val="21"/>
              </w:rPr>
              <w:t>5</w:t>
            </w:r>
          </w:p>
        </w:tc>
        <w:tc>
          <w:tcPr>
            <w:tcW w:w="2850" w:type="dxa"/>
            <w:vAlign w:val="center"/>
          </w:tcPr>
          <w:p w14:paraId="70FB17A9" w14:textId="7B4A98BA" w:rsidR="001D173F" w:rsidRPr="00412E59" w:rsidRDefault="001D173F" w:rsidP="00E01BC1">
            <w:pPr>
              <w:spacing w:before="20" w:after="20"/>
              <w:rPr>
                <w:sz w:val="21"/>
                <w:szCs w:val="21"/>
              </w:rPr>
            </w:pPr>
            <w:r w:rsidRPr="00412E59">
              <w:rPr>
                <w:rFonts w:cs="Calibri Light"/>
                <w:color w:val="000000"/>
                <w:sz w:val="21"/>
                <w:szCs w:val="21"/>
              </w:rPr>
              <w:t>Complete this section only if the transaction involves stapled structures or asset/operating entity arrangements that share common ownership but are not part of a tax consolidated group.</w:t>
            </w:r>
          </w:p>
        </w:tc>
        <w:tc>
          <w:tcPr>
            <w:tcW w:w="1533" w:type="dxa"/>
            <w:vAlign w:val="center"/>
          </w:tcPr>
          <w:p w14:paraId="513507FE" w14:textId="77777777" w:rsidR="00D63B84" w:rsidRPr="00412E59" w:rsidRDefault="00000000" w:rsidP="00E01BC1">
            <w:pPr>
              <w:spacing w:before="0" w:after="0"/>
              <w:rPr>
                <w:rFonts w:cs="Calibri Light"/>
                <w:color w:val="000000"/>
                <w:sz w:val="21"/>
                <w:szCs w:val="21"/>
              </w:rPr>
            </w:pPr>
            <w:sdt>
              <w:sdtPr>
                <w:rPr>
                  <w:rFonts w:cs="Calibri Light"/>
                  <w:color w:val="000000"/>
                  <w:sz w:val="21"/>
                  <w:szCs w:val="21"/>
                </w:rPr>
                <w:id w:val="-636797292"/>
                <w14:checkbox>
                  <w14:checked w14:val="0"/>
                  <w14:checkedState w14:val="2612" w14:font="MS Gothic"/>
                  <w14:uncheckedState w14:val="2610" w14:font="MS Gothic"/>
                </w14:checkbox>
              </w:sdtPr>
              <w:sdtContent>
                <w:r w:rsidR="00D63B84">
                  <w:rPr>
                    <w:rFonts w:ascii="MS Gothic" w:eastAsia="MS Gothic" w:hAnsi="MS Gothic" w:cs="Calibri Light"/>
                    <w:color w:val="000000"/>
                    <w:sz w:val="21"/>
                    <w:szCs w:val="21"/>
                  </w:rPr>
                  <w:t>☐</w:t>
                </w:r>
              </w:sdtContent>
            </w:sdt>
            <w:r w:rsidR="00D63B84" w:rsidRPr="00412E59">
              <w:rPr>
                <w:rFonts w:cs="Calibri Light"/>
                <w:color w:val="000000"/>
                <w:sz w:val="21"/>
                <w:szCs w:val="21"/>
              </w:rPr>
              <w:t xml:space="preserve"> Completed</w:t>
            </w:r>
          </w:p>
          <w:p w14:paraId="2EA73629" w14:textId="7A807509" w:rsidR="00773E03" w:rsidRPr="00412E59" w:rsidRDefault="00000000" w:rsidP="00E01BC1">
            <w:pPr>
              <w:spacing w:before="20" w:after="20"/>
              <w:rPr>
                <w:rFonts w:cs="Calibri Light"/>
                <w:color w:val="000000"/>
                <w:sz w:val="21"/>
                <w:szCs w:val="21"/>
              </w:rPr>
            </w:pPr>
            <w:sdt>
              <w:sdtPr>
                <w:rPr>
                  <w:rFonts w:cs="Calibri Light"/>
                  <w:color w:val="000000"/>
                  <w:sz w:val="21"/>
                  <w:szCs w:val="21"/>
                </w:rPr>
                <w:id w:val="-177660280"/>
                <w14:checkbox>
                  <w14:checked w14:val="0"/>
                  <w14:checkedState w14:val="2612" w14:font="MS Gothic"/>
                  <w14:uncheckedState w14:val="2610" w14:font="MS Gothic"/>
                </w14:checkbox>
              </w:sdtPr>
              <w:sdtContent>
                <w:r w:rsidR="00D63B84">
                  <w:rPr>
                    <w:rFonts w:ascii="MS Gothic" w:eastAsia="MS Gothic" w:hAnsi="MS Gothic" w:cs="Calibri Light"/>
                    <w:color w:val="000000"/>
                    <w:sz w:val="21"/>
                    <w:szCs w:val="21"/>
                  </w:rPr>
                  <w:t>☐</w:t>
                </w:r>
              </w:sdtContent>
            </w:sdt>
            <w:r w:rsidR="00D63B84" w:rsidRPr="00412E59">
              <w:rPr>
                <w:rFonts w:cs="Calibri Light"/>
                <w:color w:val="000000"/>
                <w:sz w:val="21"/>
                <w:szCs w:val="21"/>
              </w:rPr>
              <w:t xml:space="preserve"> N/A</w:t>
            </w:r>
          </w:p>
        </w:tc>
      </w:tr>
      <w:tr w:rsidR="006839E1" w14:paraId="57FD77BD" w14:textId="4B95761C" w:rsidTr="7C3BE380">
        <w:tc>
          <w:tcPr>
            <w:tcW w:w="2971" w:type="dxa"/>
            <w:tcBorders>
              <w:left w:val="single" w:sz="4" w:space="0" w:color="auto"/>
            </w:tcBorders>
            <w:vAlign w:val="center"/>
          </w:tcPr>
          <w:p w14:paraId="2614E4FA" w14:textId="4A5A325C" w:rsidR="001D173F" w:rsidRPr="00412E59" w:rsidRDefault="001D173F" w:rsidP="00E01BC1">
            <w:pPr>
              <w:spacing w:before="20" w:after="20"/>
              <w:rPr>
                <w:sz w:val="21"/>
                <w:szCs w:val="21"/>
              </w:rPr>
            </w:pPr>
            <w:r w:rsidRPr="00412E59">
              <w:rPr>
                <w:sz w:val="21"/>
                <w:szCs w:val="21"/>
              </w:rPr>
              <w:t>Hybrid mismatches</w:t>
            </w:r>
          </w:p>
        </w:tc>
        <w:tc>
          <w:tcPr>
            <w:tcW w:w="1140" w:type="dxa"/>
            <w:vAlign w:val="center"/>
          </w:tcPr>
          <w:p w14:paraId="0AA10B30" w14:textId="770B1E9F" w:rsidR="001D173F" w:rsidRPr="00412E59" w:rsidRDefault="001D173F" w:rsidP="00E01BC1">
            <w:pPr>
              <w:spacing w:before="20" w:after="20"/>
              <w:rPr>
                <w:sz w:val="21"/>
                <w:szCs w:val="21"/>
              </w:rPr>
            </w:pPr>
            <w:r w:rsidRPr="00412E59">
              <w:rPr>
                <w:sz w:val="21"/>
                <w:szCs w:val="21"/>
              </w:rPr>
              <w:t>26-</w:t>
            </w:r>
            <w:r w:rsidR="00D63B84" w:rsidRPr="00412E59">
              <w:rPr>
                <w:sz w:val="21"/>
                <w:szCs w:val="21"/>
              </w:rPr>
              <w:t>2</w:t>
            </w:r>
            <w:r w:rsidR="006E1948" w:rsidRPr="00412E59">
              <w:rPr>
                <w:sz w:val="21"/>
                <w:szCs w:val="21"/>
              </w:rPr>
              <w:t>7</w:t>
            </w:r>
          </w:p>
        </w:tc>
        <w:tc>
          <w:tcPr>
            <w:tcW w:w="2850" w:type="dxa"/>
            <w:vAlign w:val="center"/>
          </w:tcPr>
          <w:p w14:paraId="5F36E509" w14:textId="171DDE37" w:rsidR="001D173F" w:rsidRPr="00412E59" w:rsidRDefault="001D173F" w:rsidP="00E01BC1">
            <w:pPr>
              <w:spacing w:before="20" w:after="20"/>
              <w:rPr>
                <w:sz w:val="21"/>
                <w:szCs w:val="21"/>
              </w:rPr>
            </w:pPr>
            <w:r w:rsidRPr="00412E59">
              <w:rPr>
                <w:rFonts w:cs="Calibri Light"/>
                <w:color w:val="000000"/>
                <w:sz w:val="21"/>
                <w:szCs w:val="21"/>
              </w:rPr>
              <w:t>Complete this section only if entities are involved in hybrid mismatch arrangements.</w:t>
            </w:r>
          </w:p>
        </w:tc>
        <w:tc>
          <w:tcPr>
            <w:tcW w:w="1533" w:type="dxa"/>
            <w:vAlign w:val="center"/>
          </w:tcPr>
          <w:p w14:paraId="4DE5BA39" w14:textId="77777777" w:rsidR="00D63B84" w:rsidRPr="00412E59" w:rsidRDefault="00000000" w:rsidP="00E01BC1">
            <w:pPr>
              <w:spacing w:before="0" w:after="0"/>
              <w:rPr>
                <w:rFonts w:cs="Calibri Light"/>
                <w:color w:val="000000"/>
                <w:sz w:val="21"/>
                <w:szCs w:val="21"/>
              </w:rPr>
            </w:pPr>
            <w:sdt>
              <w:sdtPr>
                <w:rPr>
                  <w:rFonts w:cs="Calibri Light"/>
                  <w:color w:val="000000"/>
                  <w:sz w:val="21"/>
                  <w:szCs w:val="21"/>
                </w:rPr>
                <w:id w:val="1512946950"/>
                <w14:checkbox>
                  <w14:checked w14:val="0"/>
                  <w14:checkedState w14:val="2612" w14:font="MS Gothic"/>
                  <w14:uncheckedState w14:val="2610" w14:font="MS Gothic"/>
                </w14:checkbox>
              </w:sdtPr>
              <w:sdtContent>
                <w:r w:rsidR="00D63B84">
                  <w:rPr>
                    <w:rFonts w:ascii="MS Gothic" w:eastAsia="MS Gothic" w:hAnsi="MS Gothic" w:cs="Calibri Light"/>
                    <w:color w:val="000000"/>
                    <w:sz w:val="21"/>
                    <w:szCs w:val="21"/>
                  </w:rPr>
                  <w:t>☐</w:t>
                </w:r>
              </w:sdtContent>
            </w:sdt>
            <w:r w:rsidR="00D63B84" w:rsidRPr="00412E59">
              <w:rPr>
                <w:rFonts w:cs="Calibri Light"/>
                <w:color w:val="000000"/>
                <w:sz w:val="21"/>
                <w:szCs w:val="21"/>
              </w:rPr>
              <w:t xml:space="preserve"> Completed</w:t>
            </w:r>
          </w:p>
          <w:p w14:paraId="0C663B6C" w14:textId="0125FF2B" w:rsidR="00773E03" w:rsidRPr="00412E59" w:rsidRDefault="00000000" w:rsidP="00E01BC1">
            <w:pPr>
              <w:spacing w:before="20" w:after="20"/>
              <w:rPr>
                <w:rFonts w:cs="Calibri Light"/>
                <w:color w:val="000000"/>
                <w:sz w:val="21"/>
                <w:szCs w:val="21"/>
              </w:rPr>
            </w:pPr>
            <w:sdt>
              <w:sdtPr>
                <w:rPr>
                  <w:rFonts w:cs="Calibri Light"/>
                  <w:color w:val="000000"/>
                  <w:sz w:val="21"/>
                  <w:szCs w:val="21"/>
                </w:rPr>
                <w:id w:val="-342472656"/>
                <w14:checkbox>
                  <w14:checked w14:val="0"/>
                  <w14:checkedState w14:val="2612" w14:font="MS Gothic"/>
                  <w14:uncheckedState w14:val="2610" w14:font="MS Gothic"/>
                </w14:checkbox>
              </w:sdtPr>
              <w:sdtContent>
                <w:r w:rsidR="00D63B84">
                  <w:rPr>
                    <w:rFonts w:ascii="MS Gothic" w:eastAsia="MS Gothic" w:hAnsi="MS Gothic" w:cs="Calibri Light"/>
                    <w:color w:val="000000"/>
                    <w:sz w:val="21"/>
                    <w:szCs w:val="21"/>
                  </w:rPr>
                  <w:t>☐</w:t>
                </w:r>
              </w:sdtContent>
            </w:sdt>
            <w:r w:rsidR="00D63B84" w:rsidRPr="00412E59">
              <w:rPr>
                <w:rFonts w:cs="Calibri Light"/>
                <w:color w:val="000000"/>
                <w:sz w:val="21"/>
                <w:szCs w:val="21"/>
              </w:rPr>
              <w:t xml:space="preserve"> N/A</w:t>
            </w:r>
          </w:p>
        </w:tc>
      </w:tr>
    </w:tbl>
    <w:p w14:paraId="6BED82F4" w14:textId="1EA1EF72" w:rsidR="00E01BC1" w:rsidRPr="00396F2A" w:rsidRDefault="00E01BC1">
      <w:pPr>
        <w:spacing w:before="0" w:after="0"/>
      </w:pPr>
    </w:p>
    <w:p w14:paraId="6C5A7060" w14:textId="7A449C6B" w:rsidR="00EB7CAC" w:rsidRDefault="00EB7CAC" w:rsidP="006C43CE">
      <w:pPr>
        <w:pStyle w:val="Heading2"/>
        <w:spacing w:line="240" w:lineRule="auto"/>
      </w:pPr>
      <w:r w:rsidRPr="0018485A">
        <w:lastRenderedPageBreak/>
        <w:t xml:space="preserve">Mandatory </w:t>
      </w:r>
      <w:r w:rsidR="00721E80">
        <w:t>questions</w:t>
      </w:r>
    </w:p>
    <w:p w14:paraId="64451F9D" w14:textId="57751F78" w:rsidR="00141362" w:rsidRDefault="0021169E" w:rsidP="006C43CE">
      <w:pPr>
        <w:pStyle w:val="Heading3"/>
        <w:spacing w:line="240" w:lineRule="auto"/>
      </w:pPr>
      <w:r>
        <w:t xml:space="preserve">Tax character and </w:t>
      </w:r>
      <w:r w:rsidR="0018485A">
        <w:t>s</w:t>
      </w:r>
      <w:r w:rsidR="009F73A6">
        <w:t>tep plan</w:t>
      </w:r>
      <w:r w:rsidR="009F73A6" w:rsidDel="0021169E">
        <w:t xml:space="preserve"> </w:t>
      </w:r>
    </w:p>
    <w:p w14:paraId="15BA19D7" w14:textId="6094F166" w:rsidR="00E7388F" w:rsidRPr="00E7388F" w:rsidRDefault="003F6358" w:rsidP="006C43CE">
      <w:r>
        <w:t>You must complete this section for</w:t>
      </w:r>
      <w:r w:rsidR="00E7388F">
        <w:t xml:space="preserve"> </w:t>
      </w:r>
      <w:r w:rsidR="00E7388F" w:rsidRPr="007C081B">
        <w:rPr>
          <w:u w:val="single"/>
        </w:rPr>
        <w:t>all</w:t>
      </w:r>
      <w:r w:rsidR="00E7388F" w:rsidRPr="007C081B">
        <w:rPr>
          <w:b/>
          <w:bCs/>
          <w:u w:val="single"/>
        </w:rPr>
        <w:t xml:space="preserve"> </w:t>
      </w:r>
      <w:r w:rsidR="00E7388F" w:rsidRPr="007C081B">
        <w:rPr>
          <w:u w:val="single"/>
        </w:rPr>
        <w:t>submissions</w:t>
      </w:r>
      <w:r w:rsidR="00E7388F">
        <w:t xml:space="preserve"> that require completion of the Tax Checklist. </w:t>
      </w:r>
    </w:p>
    <w:p w14:paraId="30D4A1BB" w14:textId="34C82C3F" w:rsidR="00430883" w:rsidRDefault="00430883" w:rsidP="006C43CE">
      <w:pPr>
        <w:pStyle w:val="ListParagraph"/>
        <w:numPr>
          <w:ilvl w:val="0"/>
          <w:numId w:val="14"/>
        </w:numPr>
      </w:pPr>
      <w:r>
        <w:t>Provide the</w:t>
      </w:r>
      <w:r w:rsidRPr="00CE744D">
        <w:t xml:space="preserve"> name, position and firm of any tax advisers who provided advice on Australian tax matters for the</w:t>
      </w:r>
      <w:r>
        <w:t xml:space="preserve"> </w:t>
      </w:r>
      <w:r w:rsidRPr="004256A2">
        <w:t>acquisition or restructure</w:t>
      </w:r>
      <w:r>
        <w:t xml:space="preserve"> (the </w:t>
      </w:r>
      <w:r w:rsidRPr="009F73A6">
        <w:rPr>
          <w:b/>
          <w:bCs/>
        </w:rPr>
        <w:t>Transaction</w:t>
      </w:r>
      <w:r>
        <w:t>)</w:t>
      </w:r>
      <w:r w:rsidRPr="00CE744D">
        <w:t>, the foreign investment submission</w:t>
      </w:r>
      <w:r>
        <w:t xml:space="preserve"> for the Transaction, </w:t>
      </w:r>
      <w:r w:rsidRPr="00CE744D">
        <w:t>or related requests for information.</w:t>
      </w:r>
    </w:p>
    <w:p w14:paraId="303B98A7" w14:textId="177CFBCD" w:rsidR="009F73A6" w:rsidRDefault="009F73A6" w:rsidP="006C43CE">
      <w:pPr>
        <w:pStyle w:val="ListParagraph"/>
        <w:numPr>
          <w:ilvl w:val="0"/>
          <w:numId w:val="14"/>
        </w:numPr>
      </w:pPr>
      <w:r>
        <w:t xml:space="preserve">Provide a step plan of the Transaction, including: </w:t>
      </w:r>
    </w:p>
    <w:p w14:paraId="795C0F36" w14:textId="4D6FAA25" w:rsidR="009F73A6" w:rsidRDefault="009F73A6" w:rsidP="006C43CE">
      <w:pPr>
        <w:pStyle w:val="ListParagraph"/>
        <w:numPr>
          <w:ilvl w:val="1"/>
          <w:numId w:val="14"/>
        </w:numPr>
      </w:pPr>
      <w:r>
        <w:t>a diagram of the pre-</w:t>
      </w:r>
      <w:r w:rsidR="001820B2">
        <w:t>Transaction</w:t>
      </w:r>
      <w:r>
        <w:t xml:space="preserve"> and post-Transaction organisational structures of the target(s), and, where relevant, identifying the members of a tax consolidated group/</w:t>
      </w:r>
      <w:r w:rsidR="00EC3DF3" w:rsidRPr="004F4DD2">
        <w:t>multiple entry consolidated group (</w:t>
      </w:r>
      <w:r w:rsidR="00EC3DF3" w:rsidRPr="00C81411">
        <w:rPr>
          <w:b/>
          <w:bCs/>
        </w:rPr>
        <w:t>MEC group</w:t>
      </w:r>
      <w:r w:rsidR="00EC3DF3" w:rsidRPr="004F4DD2">
        <w:t>)</w:t>
      </w:r>
      <w:r>
        <w:t xml:space="preserve">, </w:t>
      </w:r>
    </w:p>
    <w:p w14:paraId="5BC094EF" w14:textId="77777777" w:rsidR="009F73A6" w:rsidRDefault="009F73A6" w:rsidP="006C43CE">
      <w:pPr>
        <w:pStyle w:val="ListParagraph"/>
        <w:numPr>
          <w:ilvl w:val="1"/>
          <w:numId w:val="14"/>
        </w:numPr>
      </w:pPr>
      <w:r>
        <w:t xml:space="preserve">the flow of funds, </w:t>
      </w:r>
    </w:p>
    <w:p w14:paraId="061E7AA8" w14:textId="77777777" w:rsidR="009F73A6" w:rsidRDefault="009F73A6" w:rsidP="006C43CE">
      <w:pPr>
        <w:pStyle w:val="ListParagraph"/>
        <w:numPr>
          <w:ilvl w:val="1"/>
          <w:numId w:val="14"/>
        </w:numPr>
      </w:pPr>
      <w:r>
        <w:t xml:space="preserve">the debt or equity characterisation of funds used to finance the Transaction, </w:t>
      </w:r>
    </w:p>
    <w:p w14:paraId="5A542CBC" w14:textId="7B8E41F8" w:rsidR="009F73A6" w:rsidRDefault="009F73A6" w:rsidP="006C43CE">
      <w:pPr>
        <w:pStyle w:val="ListParagraph"/>
        <w:numPr>
          <w:ilvl w:val="1"/>
          <w:numId w:val="14"/>
        </w:numPr>
      </w:pPr>
      <w:r>
        <w:t xml:space="preserve">the legal form and tax residency of the ultimate investor(s) or shareholder(s) (the </w:t>
      </w:r>
      <w:r w:rsidRPr="00432C06">
        <w:rPr>
          <w:b/>
          <w:bCs/>
        </w:rPr>
        <w:t>Investors</w:t>
      </w:r>
      <w:r>
        <w:t xml:space="preserve">) and all the entities interposed between them and the target(s), </w:t>
      </w:r>
    </w:p>
    <w:p w14:paraId="6A4520DB" w14:textId="77777777" w:rsidR="009F73A6" w:rsidRDefault="009F73A6" w:rsidP="006C43CE">
      <w:pPr>
        <w:pStyle w:val="ListParagraph"/>
        <w:numPr>
          <w:ilvl w:val="1"/>
          <w:numId w:val="14"/>
        </w:numPr>
      </w:pPr>
      <w:r>
        <w:t xml:space="preserve">the Australian and foreign tax implications of the steps of the Transaction, and </w:t>
      </w:r>
    </w:p>
    <w:p w14:paraId="5F3DFFB5" w14:textId="77777777" w:rsidR="009F73A6" w:rsidRDefault="009F73A6" w:rsidP="006C43CE">
      <w:pPr>
        <w:pStyle w:val="ListParagraph"/>
        <w:numPr>
          <w:ilvl w:val="1"/>
          <w:numId w:val="14"/>
        </w:numPr>
      </w:pPr>
      <w:r>
        <w:t>indicate if any exemption or relief applies to each step of the Transaction.</w:t>
      </w:r>
    </w:p>
    <w:p w14:paraId="295F07F4" w14:textId="106CAD1E" w:rsidR="005D1A20" w:rsidRDefault="00EF2429" w:rsidP="006C43CE">
      <w:pPr>
        <w:pStyle w:val="ListNumber"/>
        <w:numPr>
          <w:ilvl w:val="0"/>
          <w:numId w:val="14"/>
        </w:numPr>
      </w:pPr>
      <w:r w:rsidRPr="004F4DD2">
        <w:t>For each entity in the post-</w:t>
      </w:r>
      <w:r w:rsidR="005D1A20">
        <w:t>Tr</w:t>
      </w:r>
      <w:r w:rsidRPr="004F4DD2">
        <w:t xml:space="preserve">ansaction structure diagram, provide the following details using the table format below: </w:t>
      </w:r>
    </w:p>
    <w:tbl>
      <w:tblPr>
        <w:tblStyle w:val="TableGrid"/>
        <w:tblW w:w="0" w:type="auto"/>
        <w:tblInd w:w="704" w:type="dxa"/>
        <w:tblCellMar>
          <w:left w:w="0" w:type="dxa"/>
          <w:right w:w="28" w:type="dxa"/>
        </w:tblCellMar>
        <w:tblLook w:val="04A0" w:firstRow="1" w:lastRow="0" w:firstColumn="1" w:lastColumn="0" w:noHBand="0" w:noVBand="1"/>
      </w:tblPr>
      <w:tblGrid>
        <w:gridCol w:w="6237"/>
        <w:gridCol w:w="1553"/>
      </w:tblGrid>
      <w:tr w:rsidR="005D1A20" w:rsidRPr="005D1A20" w14:paraId="0F2A6FA8" w14:textId="77777777" w:rsidTr="00256825">
        <w:tc>
          <w:tcPr>
            <w:tcW w:w="6237" w:type="dxa"/>
            <w:shd w:val="clear" w:color="auto" w:fill="D8E6DF" w:themeFill="accent2" w:themeFillTint="33"/>
          </w:tcPr>
          <w:p w14:paraId="3DC0D88F" w14:textId="77777777" w:rsidR="005D1A20" w:rsidRPr="005D1A20" w:rsidRDefault="005D1A20" w:rsidP="006C43CE">
            <w:pPr>
              <w:contextualSpacing/>
              <w:rPr>
                <w:color w:val="FFFFFF" w:themeColor="background1"/>
              </w:rPr>
            </w:pPr>
          </w:p>
        </w:tc>
        <w:tc>
          <w:tcPr>
            <w:tcW w:w="1553" w:type="dxa"/>
            <w:shd w:val="clear" w:color="auto" w:fill="D8E6DF" w:themeFill="accent2" w:themeFillTint="33"/>
          </w:tcPr>
          <w:p w14:paraId="2A40B347" w14:textId="6914D87F" w:rsidR="005D1A20" w:rsidRPr="005D1A20" w:rsidRDefault="005D1A20" w:rsidP="006C43CE">
            <w:pPr>
              <w:contextualSpacing/>
              <w:jc w:val="center"/>
              <w:rPr>
                <w:b/>
                <w:bCs/>
                <w:color w:val="FFFFFF" w:themeColor="background1"/>
              </w:rPr>
            </w:pPr>
          </w:p>
        </w:tc>
      </w:tr>
      <w:tr w:rsidR="005D1A20" w:rsidRPr="005D1A20" w14:paraId="27AEA9FE" w14:textId="77777777" w:rsidTr="00256825">
        <w:tc>
          <w:tcPr>
            <w:tcW w:w="6237" w:type="dxa"/>
          </w:tcPr>
          <w:p w14:paraId="6A0A30BB" w14:textId="77777777" w:rsidR="005D1A20" w:rsidRPr="005D1A20" w:rsidRDefault="005D1A20" w:rsidP="006C43CE">
            <w:pPr>
              <w:ind w:left="147"/>
            </w:pPr>
            <w:r w:rsidRPr="005D1A20">
              <w:t>Full legal name of the entity</w:t>
            </w:r>
          </w:p>
        </w:tc>
        <w:tc>
          <w:tcPr>
            <w:tcW w:w="1553" w:type="dxa"/>
          </w:tcPr>
          <w:p w14:paraId="23FC78AF" w14:textId="77777777" w:rsidR="005D1A20" w:rsidRPr="005D1A20" w:rsidRDefault="005D1A20" w:rsidP="006C43CE">
            <w:pPr>
              <w:contextualSpacing/>
            </w:pPr>
          </w:p>
        </w:tc>
      </w:tr>
      <w:tr w:rsidR="005D1A20" w:rsidRPr="005D1A20" w14:paraId="143570F9" w14:textId="77777777" w:rsidTr="00256825">
        <w:tc>
          <w:tcPr>
            <w:tcW w:w="6237" w:type="dxa"/>
          </w:tcPr>
          <w:p w14:paraId="72BC35A2" w14:textId="77777777" w:rsidR="005D1A20" w:rsidRPr="005D1A20" w:rsidRDefault="005D1A20" w:rsidP="006C43CE">
            <w:pPr>
              <w:ind w:left="147"/>
            </w:pPr>
            <w:r w:rsidRPr="005D1A20">
              <w:t>Country/Seat of Incorporation</w:t>
            </w:r>
          </w:p>
        </w:tc>
        <w:tc>
          <w:tcPr>
            <w:tcW w:w="1553" w:type="dxa"/>
          </w:tcPr>
          <w:p w14:paraId="3962892E" w14:textId="77777777" w:rsidR="005D1A20" w:rsidRPr="005D1A20" w:rsidRDefault="005D1A20" w:rsidP="006C43CE">
            <w:pPr>
              <w:contextualSpacing/>
            </w:pPr>
          </w:p>
        </w:tc>
      </w:tr>
      <w:tr w:rsidR="001125F3" w:rsidRPr="005D1A20" w14:paraId="7128DC39" w14:textId="77777777" w:rsidTr="00256825">
        <w:tc>
          <w:tcPr>
            <w:tcW w:w="6237" w:type="dxa"/>
          </w:tcPr>
          <w:p w14:paraId="044F3D4D" w14:textId="71F9C39D" w:rsidR="001125F3" w:rsidRPr="005D1A20" w:rsidRDefault="00A81313" w:rsidP="006C43CE">
            <w:pPr>
              <w:ind w:left="147"/>
            </w:pPr>
            <w:r>
              <w:t>N</w:t>
            </w:r>
            <w:r w:rsidR="001125F3">
              <w:t>ame of all directors and public officers (or equivalent)</w:t>
            </w:r>
            <w:r w:rsidR="002E3D3D">
              <w:t xml:space="preserve"> </w:t>
            </w:r>
            <w:r>
              <w:t>(entities not incorporated in Australia only)</w:t>
            </w:r>
            <w:r w:rsidR="001125F3">
              <w:t xml:space="preserve"> </w:t>
            </w:r>
          </w:p>
        </w:tc>
        <w:tc>
          <w:tcPr>
            <w:tcW w:w="1553" w:type="dxa"/>
          </w:tcPr>
          <w:p w14:paraId="6EEF65FF" w14:textId="77777777" w:rsidR="001125F3" w:rsidRPr="005D1A20" w:rsidRDefault="001125F3" w:rsidP="006C43CE">
            <w:pPr>
              <w:contextualSpacing/>
            </w:pPr>
          </w:p>
        </w:tc>
      </w:tr>
      <w:tr w:rsidR="005D1A20" w:rsidRPr="005D1A20" w14:paraId="61484311" w14:textId="77777777" w:rsidTr="00256825">
        <w:tc>
          <w:tcPr>
            <w:tcW w:w="6237" w:type="dxa"/>
          </w:tcPr>
          <w:p w14:paraId="613BA9F7" w14:textId="77777777" w:rsidR="005D1A20" w:rsidRPr="005D1A20" w:rsidRDefault="005D1A20" w:rsidP="006C43CE">
            <w:pPr>
              <w:ind w:left="147"/>
            </w:pPr>
            <w:r w:rsidRPr="005D1A20">
              <w:t xml:space="preserve">Tax </w:t>
            </w:r>
            <w:r w:rsidRPr="005D1A20">
              <w:rPr>
                <w:spacing w:val="-2"/>
              </w:rPr>
              <w:t>residence</w:t>
            </w:r>
          </w:p>
        </w:tc>
        <w:tc>
          <w:tcPr>
            <w:tcW w:w="1553" w:type="dxa"/>
          </w:tcPr>
          <w:p w14:paraId="48F45AB2" w14:textId="77777777" w:rsidR="005D1A20" w:rsidRPr="005D1A20" w:rsidRDefault="005D1A20" w:rsidP="006C43CE">
            <w:pPr>
              <w:contextualSpacing/>
            </w:pPr>
          </w:p>
        </w:tc>
      </w:tr>
      <w:tr w:rsidR="005D1A20" w:rsidRPr="005D1A20" w14:paraId="0F000F07" w14:textId="77777777" w:rsidTr="00256825">
        <w:tc>
          <w:tcPr>
            <w:tcW w:w="6237" w:type="dxa"/>
          </w:tcPr>
          <w:p w14:paraId="32DA07F2" w14:textId="0951F8D7" w:rsidR="00303293" w:rsidRDefault="005D1A20" w:rsidP="006C43CE">
            <w:pPr>
              <w:spacing w:after="0"/>
              <w:ind w:left="147"/>
            </w:pPr>
            <w:r w:rsidRPr="005D1A20">
              <w:t>Australian tax character</w:t>
            </w:r>
            <w:r w:rsidR="005B05C3">
              <w:t>,</w:t>
            </w:r>
            <w:r w:rsidRPr="005D1A20">
              <w:t xml:space="preserve"> e.g.</w:t>
            </w:r>
          </w:p>
          <w:p w14:paraId="49FED16B" w14:textId="2B7187E6" w:rsidR="00303293" w:rsidRDefault="005D1A20" w:rsidP="006C43CE">
            <w:pPr>
              <w:pStyle w:val="ListParagraph"/>
              <w:numPr>
                <w:ilvl w:val="0"/>
                <w:numId w:val="25"/>
              </w:numPr>
              <w:spacing w:after="0"/>
              <w:ind w:left="862" w:hanging="357"/>
            </w:pPr>
            <w:r w:rsidRPr="005D1A20">
              <w:t>Head entity of a tax consolidated group</w:t>
            </w:r>
          </w:p>
          <w:p w14:paraId="37DC8BD1" w14:textId="77777777" w:rsidR="00303293" w:rsidRDefault="005D1A20" w:rsidP="006C43CE">
            <w:pPr>
              <w:pStyle w:val="ListParagraph"/>
              <w:numPr>
                <w:ilvl w:val="0"/>
                <w:numId w:val="25"/>
              </w:numPr>
              <w:spacing w:after="0"/>
              <w:ind w:left="862" w:hanging="357"/>
            </w:pPr>
            <w:r w:rsidRPr="005D1A20">
              <w:t>Member of a tax consolidated group</w:t>
            </w:r>
          </w:p>
          <w:p w14:paraId="1631D3DB" w14:textId="77777777" w:rsidR="00303293" w:rsidRDefault="005D1A20" w:rsidP="006C43CE">
            <w:pPr>
              <w:pStyle w:val="ListParagraph"/>
              <w:numPr>
                <w:ilvl w:val="0"/>
                <w:numId w:val="25"/>
              </w:numPr>
              <w:spacing w:after="0"/>
              <w:ind w:left="862" w:hanging="357"/>
            </w:pPr>
            <w:r w:rsidRPr="005D1A20">
              <w:t>Flow-through trust</w:t>
            </w:r>
          </w:p>
          <w:p w14:paraId="56FD4A00" w14:textId="77777777" w:rsidR="00303293" w:rsidRDefault="005D1A20" w:rsidP="006C43CE">
            <w:pPr>
              <w:pStyle w:val="ListParagraph"/>
              <w:numPr>
                <w:ilvl w:val="0"/>
                <w:numId w:val="25"/>
              </w:numPr>
              <w:spacing w:after="0"/>
              <w:ind w:left="862" w:hanging="357"/>
            </w:pPr>
            <w:r w:rsidRPr="005D1A20">
              <w:t>Public trading trust</w:t>
            </w:r>
          </w:p>
          <w:p w14:paraId="25510046" w14:textId="7C1852B0" w:rsidR="00303293" w:rsidRDefault="005D1A20" w:rsidP="006C43CE">
            <w:pPr>
              <w:pStyle w:val="ListParagraph"/>
              <w:numPr>
                <w:ilvl w:val="0"/>
                <w:numId w:val="25"/>
              </w:numPr>
              <w:spacing w:after="0"/>
              <w:ind w:left="862" w:hanging="357"/>
            </w:pPr>
            <w:r w:rsidRPr="005D1A20">
              <w:t>Managed investment trust</w:t>
            </w:r>
            <w:r w:rsidR="00D03AC7">
              <w:t xml:space="preserve"> (</w:t>
            </w:r>
            <w:r w:rsidR="00D03AC7" w:rsidRPr="00D03AC7">
              <w:rPr>
                <w:b/>
                <w:bCs/>
              </w:rPr>
              <w:t>MIT</w:t>
            </w:r>
            <w:r w:rsidR="00D03AC7">
              <w:t>)</w:t>
            </w:r>
          </w:p>
          <w:p w14:paraId="4D391E86" w14:textId="77777777" w:rsidR="00303293" w:rsidRDefault="005D1A20" w:rsidP="006C43CE">
            <w:pPr>
              <w:pStyle w:val="ListParagraph"/>
              <w:numPr>
                <w:ilvl w:val="0"/>
                <w:numId w:val="25"/>
              </w:numPr>
              <w:spacing w:after="0"/>
              <w:ind w:left="862" w:hanging="357"/>
            </w:pPr>
            <w:r w:rsidRPr="005D1A20">
              <w:t>Complying superannuation fund</w:t>
            </w:r>
          </w:p>
          <w:p w14:paraId="079E3A59" w14:textId="77777777" w:rsidR="00303293" w:rsidRDefault="005D1A20" w:rsidP="006C43CE">
            <w:pPr>
              <w:pStyle w:val="ListParagraph"/>
              <w:numPr>
                <w:ilvl w:val="0"/>
                <w:numId w:val="25"/>
              </w:numPr>
              <w:spacing w:after="0"/>
              <w:ind w:left="862" w:hanging="357"/>
            </w:pPr>
            <w:r w:rsidRPr="005D1A20">
              <w:t>Foreign pension fund that is withholding tax exempt under subsection 128</w:t>
            </w:r>
            <w:proofErr w:type="gramStart"/>
            <w:r w:rsidRPr="005D1A20">
              <w:t>B(</w:t>
            </w:r>
            <w:proofErr w:type="gramEnd"/>
            <w:r w:rsidRPr="005D1A20">
              <w:t xml:space="preserve">3) of the </w:t>
            </w:r>
            <w:r w:rsidRPr="00303293">
              <w:rPr>
                <w:i/>
                <w:iCs/>
              </w:rPr>
              <w:t xml:space="preserve">Income Tax Assessment Act 1936 </w:t>
            </w:r>
            <w:r w:rsidRPr="005D1A20">
              <w:t>(</w:t>
            </w:r>
            <w:proofErr w:type="spellStart"/>
            <w:r w:rsidRPr="005D1A20">
              <w:t>Cth</w:t>
            </w:r>
            <w:proofErr w:type="spellEnd"/>
            <w:r w:rsidRPr="005D1A20">
              <w:t>) (</w:t>
            </w:r>
            <w:r w:rsidRPr="00303293">
              <w:rPr>
                <w:b/>
                <w:bCs/>
              </w:rPr>
              <w:t>ITAA 1936</w:t>
            </w:r>
            <w:r w:rsidRPr="005D1A20">
              <w:t>)</w:t>
            </w:r>
          </w:p>
          <w:p w14:paraId="0DF5CF7F" w14:textId="01DFF3F2" w:rsidR="005D1A20" w:rsidRPr="005D1A20" w:rsidRDefault="005D1A20" w:rsidP="006C43CE">
            <w:pPr>
              <w:pStyle w:val="ListParagraph"/>
              <w:numPr>
                <w:ilvl w:val="0"/>
                <w:numId w:val="25"/>
              </w:numPr>
              <w:ind w:left="862" w:hanging="357"/>
            </w:pPr>
            <w:r w:rsidRPr="005D1A20">
              <w:t>Non-resident beneficiary that is assessed under section 98A of the ITAA 1936</w:t>
            </w:r>
          </w:p>
        </w:tc>
        <w:tc>
          <w:tcPr>
            <w:tcW w:w="1553" w:type="dxa"/>
          </w:tcPr>
          <w:p w14:paraId="2A2600F9" w14:textId="77777777" w:rsidR="005D1A20" w:rsidRPr="005D1A20" w:rsidRDefault="005D1A20" w:rsidP="006C43CE">
            <w:pPr>
              <w:contextualSpacing/>
            </w:pPr>
          </w:p>
        </w:tc>
      </w:tr>
      <w:tr w:rsidR="005D1A20" w:rsidRPr="005D1A20" w14:paraId="7E5B6546" w14:textId="77777777" w:rsidTr="00256825">
        <w:tc>
          <w:tcPr>
            <w:tcW w:w="6237" w:type="dxa"/>
          </w:tcPr>
          <w:p w14:paraId="104D265C" w14:textId="77777777" w:rsidR="005D1A20" w:rsidRPr="005D1A20" w:rsidRDefault="005D1A20" w:rsidP="006C43CE">
            <w:pPr>
              <w:ind w:left="147"/>
            </w:pPr>
            <w:r w:rsidRPr="005D1A20">
              <w:t>Tax character of foreign entities in their jurisdiction of residence and incorporation. If the entity is not subject to tax on certain income or gains in its residence jurisdiction, please provide details.</w:t>
            </w:r>
          </w:p>
        </w:tc>
        <w:tc>
          <w:tcPr>
            <w:tcW w:w="1553" w:type="dxa"/>
          </w:tcPr>
          <w:p w14:paraId="7AC54E57" w14:textId="77777777" w:rsidR="005D1A20" w:rsidRPr="005D1A20" w:rsidRDefault="005D1A20" w:rsidP="006C43CE">
            <w:pPr>
              <w:contextualSpacing/>
            </w:pPr>
          </w:p>
        </w:tc>
      </w:tr>
      <w:tr w:rsidR="005D1A20" w:rsidRPr="005D1A20" w14:paraId="4D329151" w14:textId="77777777" w:rsidTr="00256825">
        <w:tc>
          <w:tcPr>
            <w:tcW w:w="6237" w:type="dxa"/>
          </w:tcPr>
          <w:p w14:paraId="1349306F" w14:textId="77777777" w:rsidR="005D1A20" w:rsidRPr="005D1A20" w:rsidRDefault="005D1A20" w:rsidP="006C43CE">
            <w:pPr>
              <w:ind w:left="147"/>
            </w:pPr>
            <w:r w:rsidRPr="005D1A20">
              <w:lastRenderedPageBreak/>
              <w:t>The key role of the entity (e.g. holding entity, finance entity, special purpose vehicle, operating entity)</w:t>
            </w:r>
          </w:p>
        </w:tc>
        <w:tc>
          <w:tcPr>
            <w:tcW w:w="1553" w:type="dxa"/>
          </w:tcPr>
          <w:p w14:paraId="79D3CB7E" w14:textId="77777777" w:rsidR="005D1A20" w:rsidRPr="005D1A20" w:rsidRDefault="005D1A20" w:rsidP="006C43CE">
            <w:pPr>
              <w:contextualSpacing/>
            </w:pPr>
          </w:p>
        </w:tc>
      </w:tr>
      <w:tr w:rsidR="005D1A20" w:rsidRPr="005D1A20" w14:paraId="773B09E2" w14:textId="77777777" w:rsidTr="00256825">
        <w:tc>
          <w:tcPr>
            <w:tcW w:w="6237" w:type="dxa"/>
          </w:tcPr>
          <w:p w14:paraId="27FDA3AC" w14:textId="77777777" w:rsidR="005D1A20" w:rsidRPr="005D1A20" w:rsidRDefault="005D1A20" w:rsidP="006C43CE">
            <w:pPr>
              <w:ind w:left="147"/>
            </w:pPr>
            <w:r w:rsidRPr="005D1A20">
              <w:t>Description of their income producing assets</w:t>
            </w:r>
          </w:p>
        </w:tc>
        <w:tc>
          <w:tcPr>
            <w:tcW w:w="1553" w:type="dxa"/>
          </w:tcPr>
          <w:p w14:paraId="487CCFC1" w14:textId="77777777" w:rsidR="005D1A20" w:rsidRPr="005D1A20" w:rsidRDefault="005D1A20" w:rsidP="006C43CE">
            <w:pPr>
              <w:contextualSpacing/>
            </w:pPr>
          </w:p>
        </w:tc>
      </w:tr>
    </w:tbl>
    <w:p w14:paraId="2E58F730" w14:textId="0AC4897E" w:rsidR="005D1A20" w:rsidRDefault="00315AEC" w:rsidP="006C43CE">
      <w:pPr>
        <w:pStyle w:val="ListNumber"/>
        <w:numPr>
          <w:ilvl w:val="0"/>
          <w:numId w:val="14"/>
        </w:numPr>
      </w:pPr>
      <w:r w:rsidRPr="004F4DD2">
        <w:t xml:space="preserve">Confirm which entities </w:t>
      </w:r>
      <w:r>
        <w:t xml:space="preserve">(if any) </w:t>
      </w:r>
      <w:r w:rsidRPr="004F4DD2">
        <w:t xml:space="preserve">in the </w:t>
      </w:r>
      <w:r>
        <w:t>post-Transaction</w:t>
      </w:r>
      <w:r w:rsidRPr="004F4DD2">
        <w:t xml:space="preserve"> structure will be members of a </w:t>
      </w:r>
      <w:r>
        <w:t>t</w:t>
      </w:r>
      <w:r w:rsidRPr="004F4DD2">
        <w:t xml:space="preserve">ax </w:t>
      </w:r>
      <w:r>
        <w:t>c</w:t>
      </w:r>
      <w:r w:rsidRPr="004F4DD2">
        <w:t xml:space="preserve">onsolidated </w:t>
      </w:r>
      <w:r>
        <w:t>g</w:t>
      </w:r>
      <w:r w:rsidRPr="004F4DD2">
        <w:t xml:space="preserve">roup or </w:t>
      </w:r>
      <w:r w:rsidRPr="00EC3DF3">
        <w:t>MEC group</w:t>
      </w:r>
      <w:r w:rsidRPr="004F4DD2">
        <w:t xml:space="preserve"> in accordance with the consolidation rules in the </w:t>
      </w:r>
      <w:r w:rsidRPr="00D3358C">
        <w:rPr>
          <w:i/>
          <w:iCs/>
        </w:rPr>
        <w:t>Income Tax Assessment Act 1997</w:t>
      </w:r>
      <w:r w:rsidRPr="004F4DD2">
        <w:t xml:space="preserve"> (</w:t>
      </w:r>
      <w:proofErr w:type="spellStart"/>
      <w:r w:rsidRPr="004F4DD2">
        <w:t>Cth</w:t>
      </w:r>
      <w:proofErr w:type="spellEnd"/>
      <w:r w:rsidRPr="004F4DD2">
        <w:t>) (</w:t>
      </w:r>
      <w:r w:rsidRPr="00C81411">
        <w:rPr>
          <w:b/>
          <w:bCs/>
        </w:rPr>
        <w:t>ITAA 1997</w:t>
      </w:r>
      <w:r w:rsidRPr="004F4DD2">
        <w:t>) and provide the name of the head entity/provisional head company for each tax consolidated group</w:t>
      </w:r>
      <w:r>
        <w:t>.</w:t>
      </w:r>
    </w:p>
    <w:p w14:paraId="74B5DCA5" w14:textId="701ADF65" w:rsidR="00315AEC" w:rsidRDefault="009F73A6" w:rsidP="006C43CE">
      <w:pPr>
        <w:pStyle w:val="Heading3"/>
        <w:spacing w:line="240" w:lineRule="auto"/>
      </w:pPr>
      <w:r>
        <w:t>C</w:t>
      </w:r>
      <w:r w:rsidR="00890287">
        <w:t>ross-border restructuring</w:t>
      </w:r>
    </w:p>
    <w:p w14:paraId="4EF10211" w14:textId="337BBA83" w:rsidR="00E7388F" w:rsidRPr="00E7388F" w:rsidRDefault="003F6358" w:rsidP="006C43CE">
      <w:r>
        <w:t xml:space="preserve">You must complete this section </w:t>
      </w:r>
      <w:r w:rsidRPr="007C081B">
        <w:t xml:space="preserve">for </w:t>
      </w:r>
      <w:r w:rsidRPr="007C081B">
        <w:rPr>
          <w:u w:val="single"/>
        </w:rPr>
        <w:t>all</w:t>
      </w:r>
      <w:r w:rsidRPr="007C081B">
        <w:rPr>
          <w:b/>
          <w:bCs/>
          <w:u w:val="single"/>
        </w:rPr>
        <w:t xml:space="preserve"> </w:t>
      </w:r>
      <w:r w:rsidRPr="007C081B">
        <w:rPr>
          <w:u w:val="single"/>
        </w:rPr>
        <w:t>submissions</w:t>
      </w:r>
      <w:r>
        <w:t xml:space="preserve"> that require completion of the Tax Checklist.</w:t>
      </w:r>
    </w:p>
    <w:p w14:paraId="32D66C4A" w14:textId="194A3DEC" w:rsidR="000D0F6B" w:rsidRDefault="00165659" w:rsidP="006C43CE">
      <w:pPr>
        <w:pStyle w:val="ListParagraph"/>
        <w:numPr>
          <w:ilvl w:val="0"/>
          <w:numId w:val="14"/>
        </w:numPr>
      </w:pPr>
      <w:r>
        <w:t xml:space="preserve">Confirm whether </w:t>
      </w:r>
      <w:r w:rsidR="000D0F6B">
        <w:t>there is an expected change to the tax residency of an ultimate head company (</w:t>
      </w:r>
      <w:r w:rsidR="000D0F6B" w:rsidRPr="009F73A6">
        <w:rPr>
          <w:b/>
          <w:bCs/>
        </w:rPr>
        <w:t>UHC</w:t>
      </w:r>
      <w:r w:rsidR="000D0F6B">
        <w:t xml:space="preserve">) of an Australian entity </w:t>
      </w:r>
      <w:proofErr w:type="gramStart"/>
      <w:r w:rsidR="000D0F6B">
        <w:t>as a result of</w:t>
      </w:r>
      <w:proofErr w:type="gramEnd"/>
      <w:r w:rsidR="000D0F6B">
        <w:t xml:space="preserve"> the Transaction</w:t>
      </w:r>
      <w:r w:rsidR="00CA23CE">
        <w:t xml:space="preserve">. If so, </w:t>
      </w:r>
      <w:r w:rsidR="000D0F6B">
        <w:t xml:space="preserve">then </w:t>
      </w:r>
      <w:r w:rsidR="00594E60">
        <w:t xml:space="preserve">you must </w:t>
      </w:r>
      <w:r w:rsidR="000D0F6B">
        <w:t xml:space="preserve">provide details of: </w:t>
      </w:r>
    </w:p>
    <w:p w14:paraId="1621B461" w14:textId="77777777" w:rsidR="000D0F6B" w:rsidRDefault="000D0F6B" w:rsidP="006C43CE">
      <w:pPr>
        <w:pStyle w:val="ListParagraph"/>
        <w:numPr>
          <w:ilvl w:val="1"/>
          <w:numId w:val="14"/>
        </w:numPr>
      </w:pPr>
      <w:r>
        <w:t xml:space="preserve">jurisdiction of new tax residency of the UHC, </w:t>
      </w:r>
    </w:p>
    <w:p w14:paraId="34937145" w14:textId="77777777" w:rsidR="000D0F6B" w:rsidRDefault="000D0F6B" w:rsidP="006C43CE">
      <w:pPr>
        <w:pStyle w:val="ListParagraph"/>
        <w:numPr>
          <w:ilvl w:val="1"/>
          <w:numId w:val="14"/>
        </w:numPr>
      </w:pPr>
      <w:r>
        <w:t xml:space="preserve">existing business presence and operations in the proposed new tax residency jurisdiction, and </w:t>
      </w:r>
    </w:p>
    <w:p w14:paraId="533F8D1E" w14:textId="77777777" w:rsidR="00A74BDE" w:rsidRDefault="000D0F6B" w:rsidP="006C43CE">
      <w:pPr>
        <w:pStyle w:val="ListParagraph"/>
        <w:numPr>
          <w:ilvl w:val="1"/>
          <w:numId w:val="14"/>
        </w:numPr>
      </w:pPr>
      <w:r>
        <w:t>alternative jurisdictions considered to locate the new UHC and why each alternative jurisdiction was not chosen/preferred.</w:t>
      </w:r>
    </w:p>
    <w:p w14:paraId="622B7E5B" w14:textId="77777777" w:rsidR="008C2DD2" w:rsidRDefault="00A74BDE" w:rsidP="006C43CE">
      <w:pPr>
        <w:pStyle w:val="ListParagraph"/>
        <w:numPr>
          <w:ilvl w:val="0"/>
          <w:numId w:val="14"/>
        </w:numPr>
      </w:pPr>
      <w:r>
        <w:t>Confirm whether any restructuring was undertaken prior to, or is expected to be undertaken following, the Transaction.</w:t>
      </w:r>
      <w:r w:rsidR="00C614EC">
        <w:t xml:space="preserve"> </w:t>
      </w:r>
      <w:r>
        <w:t xml:space="preserve">If </w:t>
      </w:r>
      <w:r w:rsidR="00C614EC">
        <w:t>so</w:t>
      </w:r>
      <w:r>
        <w:t xml:space="preserve">, then </w:t>
      </w:r>
      <w:r w:rsidR="00C614EC">
        <w:t>you must provide</w:t>
      </w:r>
      <w:r>
        <w:t xml:space="preserve"> </w:t>
      </w:r>
      <w:r w:rsidR="008C2DD2">
        <w:t xml:space="preserve">the following information: </w:t>
      </w:r>
    </w:p>
    <w:p w14:paraId="17CC1BEA" w14:textId="77777777" w:rsidR="008C2DD2" w:rsidRDefault="00A74BDE" w:rsidP="006C43CE">
      <w:pPr>
        <w:pStyle w:val="ListParagraph"/>
        <w:numPr>
          <w:ilvl w:val="1"/>
          <w:numId w:val="14"/>
        </w:numPr>
      </w:pPr>
      <w:r>
        <w:t xml:space="preserve">the reason(s) for the restructure, </w:t>
      </w:r>
    </w:p>
    <w:p w14:paraId="18AA77BC" w14:textId="77777777" w:rsidR="008C2DD2" w:rsidRDefault="00A74BDE" w:rsidP="006C43CE">
      <w:pPr>
        <w:pStyle w:val="ListParagraph"/>
        <w:numPr>
          <w:ilvl w:val="1"/>
          <w:numId w:val="14"/>
        </w:numPr>
      </w:pPr>
      <w:r>
        <w:t xml:space="preserve">a description of the restructuring steps, </w:t>
      </w:r>
    </w:p>
    <w:p w14:paraId="68762542" w14:textId="77777777" w:rsidR="008C2DD2" w:rsidRDefault="00A74BDE" w:rsidP="006C43CE">
      <w:pPr>
        <w:pStyle w:val="ListParagraph"/>
        <w:numPr>
          <w:ilvl w:val="1"/>
          <w:numId w:val="14"/>
        </w:numPr>
      </w:pPr>
      <w:r>
        <w:t xml:space="preserve">any known or anticipated Australian and foreign tax implications of each step, and </w:t>
      </w:r>
    </w:p>
    <w:p w14:paraId="73E10610" w14:textId="07E7F387" w:rsidR="00A74BDE" w:rsidRDefault="00A74BDE" w:rsidP="006C43CE">
      <w:pPr>
        <w:pStyle w:val="ListParagraph"/>
        <w:numPr>
          <w:ilvl w:val="1"/>
          <w:numId w:val="14"/>
        </w:numPr>
      </w:pPr>
      <w:r>
        <w:t>a step plan (if available).</w:t>
      </w:r>
    </w:p>
    <w:p w14:paraId="226A7187" w14:textId="2A086E02" w:rsidR="00A74BDE" w:rsidRDefault="00CA23CE" w:rsidP="006C43CE">
      <w:pPr>
        <w:pStyle w:val="ListParagraph"/>
        <w:numPr>
          <w:ilvl w:val="0"/>
          <w:numId w:val="14"/>
        </w:numPr>
      </w:pPr>
      <w:r>
        <w:t xml:space="preserve">Confirm whether </w:t>
      </w:r>
      <w:r w:rsidR="00A74BDE">
        <w:t>any distributions are expected to be made by an Australian entity to an offshore recipient after the Transaction’s completion</w:t>
      </w:r>
      <w:r>
        <w:t xml:space="preserve">. If so, </w:t>
      </w:r>
      <w:r w:rsidR="00A74BDE">
        <w:t>then for each distribution</w:t>
      </w:r>
      <w:r w:rsidR="00594E60">
        <w:t>,</w:t>
      </w:r>
      <w:r w:rsidR="00A74BDE">
        <w:t xml:space="preserve"> </w:t>
      </w:r>
      <w:r w:rsidR="00594E60">
        <w:t xml:space="preserve">you must </w:t>
      </w:r>
      <w:r w:rsidR="00A74BDE">
        <w:t>provide the following information:</w:t>
      </w:r>
    </w:p>
    <w:p w14:paraId="0EF44401" w14:textId="77777777" w:rsidR="00A74BDE" w:rsidRDefault="00A74BDE" w:rsidP="006C43CE">
      <w:pPr>
        <w:pStyle w:val="ListParagraph"/>
        <w:numPr>
          <w:ilvl w:val="1"/>
          <w:numId w:val="14"/>
        </w:numPr>
      </w:pPr>
      <w:r>
        <w:t>the tax treatment of the payment for the Australian entity making the distribution,</w:t>
      </w:r>
    </w:p>
    <w:p w14:paraId="213F7FED" w14:textId="77777777" w:rsidR="00A74BDE" w:rsidRDefault="00A74BDE" w:rsidP="006C43CE">
      <w:pPr>
        <w:pStyle w:val="ListParagraph"/>
        <w:numPr>
          <w:ilvl w:val="1"/>
          <w:numId w:val="14"/>
        </w:numPr>
      </w:pPr>
      <w:r>
        <w:t>the tax treatment of the receipt for the non-resident entity receiving the distribution,</w:t>
      </w:r>
    </w:p>
    <w:p w14:paraId="383FCC8F" w14:textId="77777777" w:rsidR="00A74BDE" w:rsidRDefault="00A74BDE" w:rsidP="006C43CE">
      <w:pPr>
        <w:pStyle w:val="ListParagraph"/>
        <w:numPr>
          <w:ilvl w:val="1"/>
          <w:numId w:val="14"/>
        </w:numPr>
      </w:pPr>
      <w:r>
        <w:t>the proportion of the payment subject to withholding tax, and</w:t>
      </w:r>
    </w:p>
    <w:p w14:paraId="7A755B80" w14:textId="0D70B797" w:rsidR="00A74BDE" w:rsidRDefault="00A74BDE" w:rsidP="006C43CE">
      <w:pPr>
        <w:pStyle w:val="ListParagraph"/>
        <w:numPr>
          <w:ilvl w:val="1"/>
          <w:numId w:val="14"/>
        </w:numPr>
      </w:pPr>
      <w:r>
        <w:t>if the withholding tax rate is less than 10 per cent or the payment is not subject to withholding tax, the reason(s) why.</w:t>
      </w:r>
    </w:p>
    <w:p w14:paraId="5B13C330" w14:textId="77777777" w:rsidR="00C41228" w:rsidRDefault="00C41228" w:rsidP="006C43CE">
      <w:pPr>
        <w:pStyle w:val="Heading3"/>
        <w:spacing w:line="240" w:lineRule="auto"/>
      </w:pPr>
      <w:r>
        <w:t>Taxpayer Alerts</w:t>
      </w:r>
    </w:p>
    <w:p w14:paraId="546424AA" w14:textId="77777777" w:rsidR="003F6358" w:rsidRPr="00E7388F" w:rsidRDefault="003F6358" w:rsidP="006C43CE">
      <w:r>
        <w:t xml:space="preserve">You must complete this section for </w:t>
      </w:r>
      <w:r w:rsidRPr="007C081B">
        <w:rPr>
          <w:u w:val="single"/>
        </w:rPr>
        <w:t>all</w:t>
      </w:r>
      <w:r w:rsidRPr="007C081B">
        <w:rPr>
          <w:b/>
          <w:bCs/>
          <w:u w:val="single"/>
        </w:rPr>
        <w:t xml:space="preserve"> </w:t>
      </w:r>
      <w:r w:rsidRPr="007C081B">
        <w:rPr>
          <w:u w:val="single"/>
        </w:rPr>
        <w:t>submissions</w:t>
      </w:r>
      <w:r>
        <w:t xml:space="preserve"> that require completion of the Tax Checklist. </w:t>
      </w:r>
    </w:p>
    <w:p w14:paraId="665C4B6F" w14:textId="0E000694" w:rsidR="00F619CE" w:rsidRDefault="00355B3A" w:rsidP="006C43CE">
      <w:pPr>
        <w:pStyle w:val="ListParagraph"/>
        <w:numPr>
          <w:ilvl w:val="0"/>
          <w:numId w:val="14"/>
        </w:numPr>
      </w:pPr>
      <w:r>
        <w:t>Confirm whether</w:t>
      </w:r>
      <w:r w:rsidR="00F619CE">
        <w:t xml:space="preserve"> any part of the Transaction has features or an arrangement covered by one or more of the following Taxpayer Alerts</w:t>
      </w:r>
      <w:r w:rsidR="004A513B">
        <w:t xml:space="preserve"> (</w:t>
      </w:r>
      <w:r w:rsidR="004A513B" w:rsidRPr="004A513B">
        <w:rPr>
          <w:b/>
          <w:bCs/>
        </w:rPr>
        <w:t>TA</w:t>
      </w:r>
      <w:r w:rsidR="004A513B">
        <w:t>s)</w:t>
      </w:r>
      <w:r w:rsidR="00F619CE">
        <w:t>:</w:t>
      </w:r>
    </w:p>
    <w:p w14:paraId="1A11BCC0" w14:textId="77777777" w:rsidR="00F619CE" w:rsidRDefault="00F619CE" w:rsidP="006C43CE">
      <w:pPr>
        <w:pStyle w:val="ListParagraph"/>
        <w:numPr>
          <w:ilvl w:val="1"/>
          <w:numId w:val="22"/>
        </w:numPr>
        <w:rPr>
          <w:i/>
          <w:iCs/>
        </w:rPr>
      </w:pPr>
      <w:r w:rsidRPr="001E3053">
        <w:rPr>
          <w:i/>
          <w:iCs/>
        </w:rPr>
        <w:lastRenderedPageBreak/>
        <w:t>TA 2025/1: Managed investment trusts: restructures to access the managed investment trust withholding regime,</w:t>
      </w:r>
    </w:p>
    <w:p w14:paraId="4EACAD33" w14:textId="231CB3D9" w:rsidR="0031387E" w:rsidRPr="00495AD5" w:rsidRDefault="0031387E" w:rsidP="006C43CE">
      <w:pPr>
        <w:pStyle w:val="ListParagraph"/>
        <w:numPr>
          <w:ilvl w:val="1"/>
          <w:numId w:val="22"/>
        </w:numPr>
        <w:rPr>
          <w:i/>
          <w:iCs/>
        </w:rPr>
      </w:pPr>
      <w:r w:rsidRPr="00495AD5">
        <w:rPr>
          <w:i/>
          <w:iCs/>
        </w:rPr>
        <w:t>TA 2022/2</w:t>
      </w:r>
      <w:r w:rsidR="00BC46BA">
        <w:rPr>
          <w:i/>
          <w:iCs/>
        </w:rPr>
        <w:t xml:space="preserve">: </w:t>
      </w:r>
      <w:r w:rsidRPr="00495AD5">
        <w:rPr>
          <w:i/>
          <w:iCs/>
        </w:rPr>
        <w:t>Treaty shopping arrangements to obtain reduced withholding tax rates,</w:t>
      </w:r>
    </w:p>
    <w:p w14:paraId="4EA266F6" w14:textId="5ABDA0FB" w:rsidR="0031387E" w:rsidRPr="00495AD5" w:rsidRDefault="0031387E" w:rsidP="006C43CE">
      <w:pPr>
        <w:pStyle w:val="ListParagraph"/>
        <w:numPr>
          <w:ilvl w:val="1"/>
          <w:numId w:val="22"/>
        </w:numPr>
        <w:rPr>
          <w:i/>
          <w:iCs/>
        </w:rPr>
      </w:pPr>
      <w:r w:rsidRPr="00495AD5">
        <w:rPr>
          <w:i/>
          <w:iCs/>
        </w:rPr>
        <w:t>TA 2020/4</w:t>
      </w:r>
      <w:r w:rsidR="00BC46BA">
        <w:rPr>
          <w:i/>
          <w:iCs/>
        </w:rPr>
        <w:t xml:space="preserve">: </w:t>
      </w:r>
      <w:r w:rsidRPr="00495AD5">
        <w:rPr>
          <w:i/>
          <w:iCs/>
        </w:rPr>
        <w:t>Multiple entry consolidated groups avoiding capital gains tax through the transfer of assets to an eligible tier-1 company prior to divestment</w:t>
      </w:r>
    </w:p>
    <w:p w14:paraId="15DB0D72" w14:textId="4A990EEC" w:rsidR="00F619CE" w:rsidRPr="001E3053" w:rsidRDefault="00F619CE" w:rsidP="006C43CE">
      <w:pPr>
        <w:pStyle w:val="ListParagraph"/>
        <w:numPr>
          <w:ilvl w:val="1"/>
          <w:numId w:val="22"/>
        </w:numPr>
        <w:rPr>
          <w:i/>
          <w:iCs/>
        </w:rPr>
      </w:pPr>
      <w:r w:rsidRPr="001E3053">
        <w:rPr>
          <w:i/>
          <w:iCs/>
        </w:rPr>
        <w:t>TA 2020/3</w:t>
      </w:r>
      <w:r w:rsidR="001E3053" w:rsidRPr="001E3053">
        <w:rPr>
          <w:i/>
          <w:iCs/>
        </w:rPr>
        <w:t>:</w:t>
      </w:r>
      <w:r w:rsidRPr="001E3053">
        <w:rPr>
          <w:i/>
          <w:iCs/>
        </w:rPr>
        <w:t xml:space="preserve"> Arrangements involving interposed offshore entities to avoid interest withholding tax,</w:t>
      </w:r>
    </w:p>
    <w:p w14:paraId="6A4C893B" w14:textId="7D43DFD6" w:rsidR="00F619CE" w:rsidRPr="001E3053" w:rsidRDefault="00F619CE" w:rsidP="006C43CE">
      <w:pPr>
        <w:pStyle w:val="ListParagraph"/>
        <w:numPr>
          <w:ilvl w:val="1"/>
          <w:numId w:val="22"/>
        </w:numPr>
        <w:rPr>
          <w:i/>
          <w:iCs/>
        </w:rPr>
      </w:pPr>
      <w:r w:rsidRPr="001E3053">
        <w:rPr>
          <w:i/>
          <w:iCs/>
        </w:rPr>
        <w:t>TA 2020/2</w:t>
      </w:r>
      <w:r w:rsidR="001E3053" w:rsidRPr="001E3053">
        <w:rPr>
          <w:i/>
          <w:iCs/>
        </w:rPr>
        <w:t xml:space="preserve">: </w:t>
      </w:r>
      <w:r w:rsidRPr="001E3053">
        <w:rPr>
          <w:i/>
          <w:iCs/>
        </w:rPr>
        <w:t>Mischaracterised arrangements and schemes connected with foreign investment into Australian entities,</w:t>
      </w:r>
    </w:p>
    <w:p w14:paraId="6C9EACCD" w14:textId="01905ED7" w:rsidR="00F619CE" w:rsidRPr="001E3053" w:rsidRDefault="00F619CE" w:rsidP="006C43CE">
      <w:pPr>
        <w:pStyle w:val="ListParagraph"/>
        <w:numPr>
          <w:ilvl w:val="1"/>
          <w:numId w:val="22"/>
        </w:numPr>
        <w:rPr>
          <w:i/>
          <w:iCs/>
        </w:rPr>
      </w:pPr>
      <w:r w:rsidRPr="001E3053">
        <w:rPr>
          <w:i/>
          <w:iCs/>
        </w:rPr>
        <w:t>TA 2020/1</w:t>
      </w:r>
      <w:r w:rsidR="001E3053" w:rsidRPr="001E3053">
        <w:rPr>
          <w:i/>
          <w:iCs/>
        </w:rPr>
        <w:t xml:space="preserve">: </w:t>
      </w:r>
      <w:r w:rsidRPr="001E3053">
        <w:rPr>
          <w:i/>
          <w:iCs/>
        </w:rPr>
        <w:t>Non-arm’s length arrangements and schemes connected with development, enhancement, maintenance, protection and exploitation of intangible assets,</w:t>
      </w:r>
    </w:p>
    <w:p w14:paraId="623FDD61" w14:textId="1405961C" w:rsidR="00F619CE" w:rsidRPr="001E3053" w:rsidRDefault="00F619CE" w:rsidP="006C43CE">
      <w:pPr>
        <w:pStyle w:val="ListParagraph"/>
        <w:numPr>
          <w:ilvl w:val="1"/>
          <w:numId w:val="22"/>
        </w:numPr>
        <w:rPr>
          <w:i/>
          <w:iCs/>
        </w:rPr>
      </w:pPr>
      <w:r w:rsidRPr="001E3053">
        <w:rPr>
          <w:i/>
          <w:iCs/>
        </w:rPr>
        <w:t>TA 2019/2</w:t>
      </w:r>
      <w:r w:rsidR="001E3053" w:rsidRPr="001E3053">
        <w:rPr>
          <w:i/>
          <w:iCs/>
        </w:rPr>
        <w:t xml:space="preserve">: </w:t>
      </w:r>
      <w:r w:rsidRPr="001E3053">
        <w:rPr>
          <w:i/>
          <w:iCs/>
        </w:rPr>
        <w:t>Trusts avoiding CGT by exploiting restructure rollover,</w:t>
      </w:r>
    </w:p>
    <w:p w14:paraId="50C8D6D7" w14:textId="4579B6DE" w:rsidR="00F619CE" w:rsidRPr="001E3053" w:rsidRDefault="00F619CE" w:rsidP="006C43CE">
      <w:pPr>
        <w:pStyle w:val="ListParagraph"/>
        <w:numPr>
          <w:ilvl w:val="1"/>
          <w:numId w:val="22"/>
        </w:numPr>
        <w:rPr>
          <w:i/>
          <w:iCs/>
        </w:rPr>
      </w:pPr>
      <w:r w:rsidRPr="001E3053">
        <w:rPr>
          <w:i/>
          <w:iCs/>
        </w:rPr>
        <w:t>TA 2019/1</w:t>
      </w:r>
      <w:r w:rsidR="001E3053" w:rsidRPr="001E3053">
        <w:rPr>
          <w:i/>
          <w:iCs/>
        </w:rPr>
        <w:t xml:space="preserve">: </w:t>
      </w:r>
      <w:r w:rsidRPr="001E3053">
        <w:rPr>
          <w:i/>
          <w:iCs/>
        </w:rPr>
        <w:t>Multiple entry consolidated (MEC) groups avoiding CGT through intra-group debt,</w:t>
      </w:r>
    </w:p>
    <w:p w14:paraId="068690AD" w14:textId="32641B57" w:rsidR="00F619CE" w:rsidRPr="001E3053" w:rsidRDefault="00F619CE" w:rsidP="006C43CE">
      <w:pPr>
        <w:pStyle w:val="ListParagraph"/>
        <w:numPr>
          <w:ilvl w:val="1"/>
          <w:numId w:val="22"/>
        </w:numPr>
        <w:rPr>
          <w:i/>
          <w:iCs/>
        </w:rPr>
      </w:pPr>
      <w:r w:rsidRPr="001E3053">
        <w:rPr>
          <w:i/>
          <w:iCs/>
        </w:rPr>
        <w:t>TA 2018/4</w:t>
      </w:r>
      <w:r w:rsidR="001E3053" w:rsidRPr="001E3053">
        <w:rPr>
          <w:i/>
          <w:iCs/>
        </w:rPr>
        <w:t xml:space="preserve">: </w:t>
      </w:r>
      <w:r w:rsidRPr="001E3053">
        <w:rPr>
          <w:i/>
          <w:iCs/>
        </w:rPr>
        <w:t>Accrual deductions and deferral or avoidance of withholding tax,</w:t>
      </w:r>
    </w:p>
    <w:p w14:paraId="56433D15" w14:textId="4F134C54" w:rsidR="00F619CE" w:rsidRPr="001E3053" w:rsidRDefault="00F619CE" w:rsidP="006C43CE">
      <w:pPr>
        <w:pStyle w:val="ListParagraph"/>
        <w:numPr>
          <w:ilvl w:val="1"/>
          <w:numId w:val="22"/>
        </w:numPr>
        <w:rPr>
          <w:i/>
          <w:iCs/>
        </w:rPr>
      </w:pPr>
      <w:r w:rsidRPr="001E3053">
        <w:rPr>
          <w:i/>
          <w:iCs/>
        </w:rPr>
        <w:t>TA 2018/2</w:t>
      </w:r>
      <w:r w:rsidR="001E3053" w:rsidRPr="001E3053">
        <w:rPr>
          <w:i/>
          <w:iCs/>
        </w:rPr>
        <w:t xml:space="preserve">: </w:t>
      </w:r>
      <w:r w:rsidRPr="001E3053">
        <w:rPr>
          <w:i/>
          <w:iCs/>
        </w:rPr>
        <w:t>Mischaracterisation of activities or payments in connection with intangible assets,</w:t>
      </w:r>
    </w:p>
    <w:p w14:paraId="3F0B7791" w14:textId="737E4B15" w:rsidR="00F619CE" w:rsidRPr="001E3053" w:rsidRDefault="00F619CE" w:rsidP="006C43CE">
      <w:pPr>
        <w:pStyle w:val="ListParagraph"/>
        <w:numPr>
          <w:ilvl w:val="1"/>
          <w:numId w:val="22"/>
        </w:numPr>
        <w:rPr>
          <w:i/>
          <w:iCs/>
        </w:rPr>
      </w:pPr>
      <w:r w:rsidRPr="001E3053">
        <w:rPr>
          <w:i/>
          <w:iCs/>
        </w:rPr>
        <w:t>TA 2017/1</w:t>
      </w:r>
      <w:r w:rsidR="001E3053" w:rsidRPr="001E3053">
        <w:rPr>
          <w:i/>
          <w:iCs/>
        </w:rPr>
        <w:t xml:space="preserve">: </w:t>
      </w:r>
      <w:r w:rsidRPr="001E3053">
        <w:rPr>
          <w:i/>
          <w:iCs/>
        </w:rPr>
        <w:t>Re-characterisation of income from trading businesses,</w:t>
      </w:r>
    </w:p>
    <w:p w14:paraId="0D14AE27" w14:textId="18F7F5C4" w:rsidR="00F619CE" w:rsidRPr="001E3053" w:rsidRDefault="00F619CE" w:rsidP="006C43CE">
      <w:pPr>
        <w:pStyle w:val="ListParagraph"/>
        <w:numPr>
          <w:ilvl w:val="1"/>
          <w:numId w:val="22"/>
        </w:numPr>
        <w:rPr>
          <w:i/>
          <w:iCs/>
        </w:rPr>
      </w:pPr>
      <w:r w:rsidRPr="001E3053">
        <w:rPr>
          <w:i/>
          <w:iCs/>
        </w:rPr>
        <w:t>TA 2016/10</w:t>
      </w:r>
      <w:r w:rsidR="001E3053" w:rsidRPr="001E3053">
        <w:rPr>
          <w:i/>
          <w:iCs/>
        </w:rPr>
        <w:t xml:space="preserve">: </w:t>
      </w:r>
      <w:r w:rsidR="007F7012" w:rsidRPr="007F7012">
        <w:rPr>
          <w:i/>
          <w:iCs/>
        </w:rPr>
        <w:t>Cross-Border Round Robin Financing Arrangements</w:t>
      </w:r>
      <w:r w:rsidRPr="001E3053">
        <w:rPr>
          <w:i/>
          <w:iCs/>
        </w:rPr>
        <w:t>,</w:t>
      </w:r>
    </w:p>
    <w:p w14:paraId="33C83D4E" w14:textId="24CD6F5B" w:rsidR="00F619CE" w:rsidRPr="001E3053" w:rsidRDefault="00F619CE" w:rsidP="006C43CE">
      <w:pPr>
        <w:pStyle w:val="ListParagraph"/>
        <w:numPr>
          <w:ilvl w:val="1"/>
          <w:numId w:val="22"/>
        </w:numPr>
        <w:rPr>
          <w:i/>
          <w:iCs/>
        </w:rPr>
      </w:pPr>
      <w:r w:rsidRPr="001E3053">
        <w:rPr>
          <w:i/>
          <w:iCs/>
        </w:rPr>
        <w:t>TA 2016/7</w:t>
      </w:r>
      <w:r w:rsidR="001E3053" w:rsidRPr="001E3053">
        <w:rPr>
          <w:i/>
          <w:iCs/>
        </w:rPr>
        <w:t>:</w:t>
      </w:r>
      <w:r w:rsidR="00BC46BA">
        <w:rPr>
          <w:i/>
          <w:iCs/>
        </w:rPr>
        <w:t xml:space="preserve"> </w:t>
      </w:r>
      <w:r w:rsidRPr="001E3053">
        <w:rPr>
          <w:i/>
          <w:iCs/>
        </w:rPr>
        <w:t>Arrangements involving offshore permanent establishments, and</w:t>
      </w:r>
    </w:p>
    <w:p w14:paraId="4D80D4EE" w14:textId="7835CB53" w:rsidR="00064234" w:rsidRPr="00495AD5" w:rsidRDefault="00F619CE" w:rsidP="006C43CE">
      <w:pPr>
        <w:pStyle w:val="ListParagraph"/>
        <w:numPr>
          <w:ilvl w:val="1"/>
          <w:numId w:val="22"/>
        </w:numPr>
        <w:rPr>
          <w:i/>
          <w:iCs/>
        </w:rPr>
      </w:pPr>
      <w:r w:rsidRPr="001E3053">
        <w:rPr>
          <w:i/>
          <w:iCs/>
        </w:rPr>
        <w:t>TA 2016/3</w:t>
      </w:r>
      <w:r w:rsidR="001E3053" w:rsidRPr="001E3053">
        <w:rPr>
          <w:i/>
          <w:iCs/>
        </w:rPr>
        <w:t xml:space="preserve">: </w:t>
      </w:r>
      <w:r w:rsidRPr="001E3053">
        <w:rPr>
          <w:i/>
          <w:iCs/>
        </w:rPr>
        <w:t>Arrangements involving related party foreign currency denominated finance with related party cross currency interest rate swaps.</w:t>
      </w:r>
    </w:p>
    <w:p w14:paraId="7DF1A981" w14:textId="431792EF" w:rsidR="00E635E5" w:rsidRDefault="002F6899" w:rsidP="006C43CE">
      <w:pPr>
        <w:pStyle w:val="Heading3"/>
        <w:spacing w:line="240" w:lineRule="auto"/>
      </w:pPr>
      <w:r w:rsidRPr="00B25DCA">
        <w:t>Funding</w:t>
      </w:r>
      <w:r>
        <w:t xml:space="preserve"> and financing</w:t>
      </w:r>
    </w:p>
    <w:p w14:paraId="04BB184F" w14:textId="21C5F60F" w:rsidR="00386F42" w:rsidRPr="00E7388F" w:rsidRDefault="00386F42" w:rsidP="006C43CE">
      <w:r>
        <w:t>You must complete this section for</w:t>
      </w:r>
      <w:r w:rsidRPr="007C081B">
        <w:t xml:space="preserve"> </w:t>
      </w:r>
      <w:r w:rsidRPr="007C081B">
        <w:rPr>
          <w:u w:val="single"/>
        </w:rPr>
        <w:t>all</w:t>
      </w:r>
      <w:r w:rsidRPr="007C081B">
        <w:rPr>
          <w:b/>
          <w:bCs/>
          <w:u w:val="single"/>
        </w:rPr>
        <w:t xml:space="preserve"> </w:t>
      </w:r>
      <w:r w:rsidRPr="007C081B">
        <w:rPr>
          <w:u w:val="single"/>
        </w:rPr>
        <w:t>submissions</w:t>
      </w:r>
      <w:r>
        <w:t xml:space="preserve"> that require completion of the Tax Checklist</w:t>
      </w:r>
      <w:r w:rsidR="00A83C0C">
        <w:t xml:space="preserve">, except for </w:t>
      </w:r>
      <w:r w:rsidR="007750DA" w:rsidRPr="007750DA">
        <w:rPr>
          <w:i/>
          <w:iCs/>
        </w:rPr>
        <w:t>Interest withholding tax exemption and the public offer test</w:t>
      </w:r>
      <w:r w:rsidR="007750DA">
        <w:t xml:space="preserve"> which only needs to be completed if the</w:t>
      </w:r>
      <w:r w:rsidR="007750DA" w:rsidRPr="00E7388F">
        <w:t xml:space="preserve"> public offer test</w:t>
      </w:r>
      <w:r w:rsidR="007750DA" w:rsidRPr="007750DA">
        <w:t xml:space="preserve"> </w:t>
      </w:r>
      <w:r w:rsidR="007750DA">
        <w:t>for the interest withholding tax exemption</w:t>
      </w:r>
      <w:r w:rsidR="007750DA" w:rsidRPr="00E7388F">
        <w:t xml:space="preserve"> is relied upon</w:t>
      </w:r>
      <w:r w:rsidR="007750DA">
        <w:t>.</w:t>
      </w:r>
    </w:p>
    <w:p w14:paraId="646F5D0A" w14:textId="50A98170" w:rsidR="003F6358" w:rsidRPr="007C6358" w:rsidRDefault="00E635E5" w:rsidP="002E3D3D">
      <w:pPr>
        <w:pStyle w:val="Heading4"/>
        <w:spacing w:after="240" w:line="240" w:lineRule="auto"/>
        <w:rPr>
          <w:b/>
          <w:bCs/>
        </w:rPr>
      </w:pPr>
      <w:r w:rsidRPr="007C6358">
        <w:rPr>
          <w:b/>
          <w:bCs/>
        </w:rPr>
        <w:t xml:space="preserve">General </w:t>
      </w:r>
    </w:p>
    <w:p w14:paraId="66F6582A" w14:textId="46C7F0F8" w:rsidR="00E635E5" w:rsidRPr="00774908" w:rsidRDefault="00E635E5" w:rsidP="006C43CE">
      <w:pPr>
        <w:pStyle w:val="ListParagraph"/>
        <w:numPr>
          <w:ilvl w:val="0"/>
          <w:numId w:val="14"/>
        </w:numPr>
      </w:pPr>
      <w:r w:rsidRPr="00774908">
        <w:t xml:space="preserve">Provide details of </w:t>
      </w:r>
      <w:r w:rsidR="001D55C9" w:rsidRPr="00774908">
        <w:t>any</w:t>
      </w:r>
      <w:r w:rsidRPr="00774908">
        <w:t xml:space="preserve"> existing and proposed equity and debt instruments of Australian entities (including any Australian acquirers or their Australian holding companies used for the acquisition of the target(s)). </w:t>
      </w:r>
      <w:r w:rsidR="001342E6" w:rsidRPr="004B477F">
        <w:t xml:space="preserve">If there are no </w:t>
      </w:r>
      <w:r w:rsidR="00355B3A" w:rsidRPr="004B477F">
        <w:t xml:space="preserve">such instruments, then you must confirm this. </w:t>
      </w:r>
      <w:r w:rsidR="00910709" w:rsidRPr="00774908">
        <w:t>To avoid doubt, this includes instruments that are not classified under Division 974 of the ITAA 1997.</w:t>
      </w:r>
    </w:p>
    <w:p w14:paraId="2F216CAF" w14:textId="7C55A8F5" w:rsidR="00E635E5" w:rsidRDefault="00FC2919" w:rsidP="006C43CE">
      <w:pPr>
        <w:pStyle w:val="ListParagraph"/>
        <w:numPr>
          <w:ilvl w:val="0"/>
          <w:numId w:val="14"/>
        </w:numPr>
      </w:pPr>
      <w:r>
        <w:t>Confirm whether</w:t>
      </w:r>
      <w:r w:rsidR="00E635E5">
        <w:t xml:space="preserve"> the ultimate unitholders or shareholders </w:t>
      </w:r>
      <w:r w:rsidR="001D55C9">
        <w:t xml:space="preserve">of the acquiring party or parties </w:t>
      </w:r>
      <w:r w:rsidR="00E635E5">
        <w:t xml:space="preserve">propose to borrow </w:t>
      </w:r>
      <w:r w:rsidR="001D55C9">
        <w:t xml:space="preserve">(either directly or indirectly via a wholly owned subsidiary or associate) </w:t>
      </w:r>
      <w:r w:rsidR="00E635E5">
        <w:t xml:space="preserve">from a third party for the purpose of financing part or all the Transaction. If </w:t>
      </w:r>
      <w:r w:rsidR="00910709">
        <w:t>so,</w:t>
      </w:r>
      <w:r w:rsidR="00E635E5">
        <w:t xml:space="preserve"> then </w:t>
      </w:r>
      <w:r w:rsidR="00910709">
        <w:t xml:space="preserve">you must </w:t>
      </w:r>
      <w:r w:rsidR="00E635E5">
        <w:t xml:space="preserve">provide the following information for each third-party loan: </w:t>
      </w:r>
    </w:p>
    <w:p w14:paraId="6FA9F920" w14:textId="77777777" w:rsidR="00E635E5" w:rsidRDefault="00E635E5" w:rsidP="006C43CE">
      <w:pPr>
        <w:pStyle w:val="ListParagraph"/>
        <w:numPr>
          <w:ilvl w:val="1"/>
          <w:numId w:val="16"/>
        </w:numPr>
      </w:pPr>
      <w:r>
        <w:t xml:space="preserve">the lender’s name, </w:t>
      </w:r>
    </w:p>
    <w:p w14:paraId="1F414F93" w14:textId="77777777" w:rsidR="00E635E5" w:rsidRDefault="00E635E5" w:rsidP="006C43CE">
      <w:pPr>
        <w:pStyle w:val="ListParagraph"/>
        <w:numPr>
          <w:ilvl w:val="1"/>
          <w:numId w:val="16"/>
        </w:numPr>
      </w:pPr>
      <w:r>
        <w:t xml:space="preserve">the amount, </w:t>
      </w:r>
    </w:p>
    <w:p w14:paraId="6A8C4966" w14:textId="77777777" w:rsidR="00E635E5" w:rsidRDefault="00E635E5" w:rsidP="006C43CE">
      <w:pPr>
        <w:pStyle w:val="ListParagraph"/>
        <w:numPr>
          <w:ilvl w:val="1"/>
          <w:numId w:val="16"/>
        </w:numPr>
      </w:pPr>
      <w:r>
        <w:t xml:space="preserve">the currency used, and </w:t>
      </w:r>
    </w:p>
    <w:p w14:paraId="3CBACD50" w14:textId="77777777" w:rsidR="00E635E5" w:rsidRDefault="00E635E5" w:rsidP="006C43CE">
      <w:pPr>
        <w:pStyle w:val="ListParagraph"/>
        <w:numPr>
          <w:ilvl w:val="1"/>
          <w:numId w:val="16"/>
        </w:numPr>
      </w:pPr>
      <w:r>
        <w:lastRenderedPageBreak/>
        <w:t xml:space="preserve">the rate of interest (including AUD equivalent interest rate). </w:t>
      </w:r>
    </w:p>
    <w:p w14:paraId="4A783B27" w14:textId="7F118071" w:rsidR="00E635E5" w:rsidRDefault="00E635E5" w:rsidP="006C43CE">
      <w:pPr>
        <w:pStyle w:val="ListParagraph"/>
        <w:numPr>
          <w:ilvl w:val="0"/>
          <w:numId w:val="14"/>
        </w:numPr>
      </w:pPr>
      <w:r>
        <w:t>Using the table format below, provide details of the existing and proposed debt and equity arrangements of Australian entities (including any Australian acquirers or their Australian holding companies used for the acquisition of the target(s</w:t>
      </w:r>
      <w:r w:rsidRPr="00982BB6">
        <w:rPr>
          <w:color w:val="000000" w:themeColor="text1"/>
        </w:rPr>
        <w:t xml:space="preserve">)). </w:t>
      </w:r>
      <w:r w:rsidR="00432C06" w:rsidRPr="00982BB6">
        <w:rPr>
          <w:color w:val="000000" w:themeColor="text1"/>
        </w:rPr>
        <w:t xml:space="preserve">If there are no such arrangements, then you must confirm this. </w:t>
      </w:r>
      <w:r w:rsidRPr="00982BB6">
        <w:rPr>
          <w:color w:val="000000" w:themeColor="text1"/>
        </w:rPr>
        <w:t>When c</w:t>
      </w:r>
      <w:r>
        <w:t>ompleting this table,</w:t>
      </w:r>
    </w:p>
    <w:p w14:paraId="38A15AF6" w14:textId="3CDADFE8" w:rsidR="00E635E5" w:rsidRDefault="00E635E5" w:rsidP="0045424C">
      <w:pPr>
        <w:pStyle w:val="ListParagraph"/>
        <w:numPr>
          <w:ilvl w:val="0"/>
          <w:numId w:val="31"/>
        </w:numPr>
      </w:pPr>
      <w:r>
        <w:t>include the details of existing and proposed debt and equity arrangements of any non-resident direct beneficiaries/unitholders of Division 6 trusts, to the extent that they are expected to give rise to deductible amounts against the distributions from Division 6 trusts</w:t>
      </w:r>
      <w:r w:rsidR="00101BD0">
        <w:t>, and</w:t>
      </w:r>
    </w:p>
    <w:p w14:paraId="75F7F61A" w14:textId="30635E75" w:rsidR="00E635E5" w:rsidRDefault="00E635E5" w:rsidP="0045424C">
      <w:pPr>
        <w:pStyle w:val="ListParagraph"/>
        <w:numPr>
          <w:ilvl w:val="0"/>
          <w:numId w:val="31"/>
        </w:numPr>
      </w:pPr>
      <w:r>
        <w:t xml:space="preserve">regarding debt instalments, attach any relevant registrations under the </w:t>
      </w:r>
      <w:r w:rsidRPr="007F0B84">
        <w:rPr>
          <w:i/>
          <w:iCs/>
        </w:rPr>
        <w:t>Personal Property Securities Act 2009</w:t>
      </w:r>
      <w:r>
        <w:t xml:space="preserve"> (</w:t>
      </w:r>
      <w:proofErr w:type="spellStart"/>
      <w:r>
        <w:t>Cth</w:t>
      </w:r>
      <w:proofErr w:type="spellEnd"/>
      <w:r>
        <w:t>).</w:t>
      </w:r>
    </w:p>
    <w:tbl>
      <w:tblPr>
        <w:tblStyle w:val="TableGrid"/>
        <w:tblW w:w="0" w:type="auto"/>
        <w:tblInd w:w="704" w:type="dxa"/>
        <w:tblLook w:val="04A0" w:firstRow="1" w:lastRow="0" w:firstColumn="1" w:lastColumn="0" w:noHBand="0" w:noVBand="1"/>
      </w:tblPr>
      <w:tblGrid>
        <w:gridCol w:w="6379"/>
        <w:gridCol w:w="1411"/>
      </w:tblGrid>
      <w:tr w:rsidR="007F0B84" w:rsidRPr="00F941CE" w14:paraId="72E01F10" w14:textId="77777777" w:rsidTr="00101BD0">
        <w:tc>
          <w:tcPr>
            <w:tcW w:w="6379" w:type="dxa"/>
            <w:shd w:val="clear" w:color="auto" w:fill="D8E6DF" w:themeFill="accent2" w:themeFillTint="33"/>
          </w:tcPr>
          <w:p w14:paraId="3EA85D63" w14:textId="77777777" w:rsidR="007F0B84" w:rsidRPr="00F941CE" w:rsidRDefault="007F0B84" w:rsidP="006C43CE">
            <w:pPr>
              <w:keepNext/>
              <w:rPr>
                <w:b/>
                <w:bCs/>
                <w:color w:val="FFFFFF" w:themeColor="background1"/>
              </w:rPr>
            </w:pPr>
          </w:p>
        </w:tc>
        <w:tc>
          <w:tcPr>
            <w:tcW w:w="1411" w:type="dxa"/>
            <w:shd w:val="clear" w:color="auto" w:fill="D8E6DF" w:themeFill="accent2" w:themeFillTint="33"/>
          </w:tcPr>
          <w:p w14:paraId="5C137E46" w14:textId="77777777" w:rsidR="007F0B84" w:rsidRPr="00F941CE" w:rsidRDefault="007F0B84" w:rsidP="006C43CE">
            <w:pPr>
              <w:keepNext/>
              <w:rPr>
                <w:b/>
                <w:bCs/>
                <w:color w:val="FFFFFF" w:themeColor="background1"/>
              </w:rPr>
            </w:pPr>
          </w:p>
        </w:tc>
      </w:tr>
      <w:tr w:rsidR="007F0B84" w14:paraId="5677FA8E" w14:textId="77777777" w:rsidTr="00101BD0">
        <w:tc>
          <w:tcPr>
            <w:tcW w:w="6379" w:type="dxa"/>
          </w:tcPr>
          <w:p w14:paraId="1B14AEA3" w14:textId="77777777" w:rsidR="007F0B84" w:rsidRDefault="007F0B84" w:rsidP="006C43CE">
            <w:pPr>
              <w:keepNext/>
            </w:pPr>
            <w:r>
              <w:t>Legal characterisation (e.g. loan, note, ordinary shares, preference shares etc.)</w:t>
            </w:r>
          </w:p>
        </w:tc>
        <w:tc>
          <w:tcPr>
            <w:tcW w:w="1411" w:type="dxa"/>
          </w:tcPr>
          <w:p w14:paraId="037C6694" w14:textId="77777777" w:rsidR="007F0B84" w:rsidRDefault="007F0B84" w:rsidP="006C43CE">
            <w:pPr>
              <w:keepNext/>
            </w:pPr>
          </w:p>
        </w:tc>
      </w:tr>
      <w:tr w:rsidR="007F0B84" w14:paraId="438AA66E" w14:textId="77777777" w:rsidTr="00101BD0">
        <w:tc>
          <w:tcPr>
            <w:tcW w:w="6379" w:type="dxa"/>
          </w:tcPr>
          <w:p w14:paraId="53D3FBAB" w14:textId="77777777" w:rsidR="007F0B84" w:rsidRDefault="007F0B84" w:rsidP="006C43CE">
            <w:r>
              <w:t>Tax Treatment</w:t>
            </w:r>
          </w:p>
        </w:tc>
        <w:tc>
          <w:tcPr>
            <w:tcW w:w="1411" w:type="dxa"/>
          </w:tcPr>
          <w:p w14:paraId="066AA00C" w14:textId="77777777" w:rsidR="007F0B84" w:rsidRDefault="007F0B84" w:rsidP="006C43CE"/>
        </w:tc>
      </w:tr>
      <w:tr w:rsidR="007F0B84" w14:paraId="5C5F1C9F" w14:textId="77777777" w:rsidTr="00101BD0">
        <w:tc>
          <w:tcPr>
            <w:tcW w:w="6379" w:type="dxa"/>
          </w:tcPr>
          <w:p w14:paraId="391F9B09" w14:textId="77777777" w:rsidR="007F0B84" w:rsidRDefault="007F0B84" w:rsidP="006C43CE">
            <w:r>
              <w:t>Tax Treatment for counterparty in foreign jurisdiction</w:t>
            </w:r>
          </w:p>
        </w:tc>
        <w:tc>
          <w:tcPr>
            <w:tcW w:w="1411" w:type="dxa"/>
          </w:tcPr>
          <w:p w14:paraId="0C8B7047" w14:textId="77777777" w:rsidR="007F0B84" w:rsidRDefault="007F0B84" w:rsidP="006C43CE"/>
        </w:tc>
      </w:tr>
      <w:tr w:rsidR="007F0B84" w14:paraId="478A91BC" w14:textId="77777777" w:rsidTr="00101BD0">
        <w:tc>
          <w:tcPr>
            <w:tcW w:w="6379" w:type="dxa"/>
          </w:tcPr>
          <w:p w14:paraId="47D9EEE1" w14:textId="77777777" w:rsidR="007F0B84" w:rsidRDefault="007F0B84" w:rsidP="006C43CE">
            <w:r>
              <w:t>Confirm whether treatment is different for income tax purposes and accounting purposes</w:t>
            </w:r>
          </w:p>
        </w:tc>
        <w:tc>
          <w:tcPr>
            <w:tcW w:w="1411" w:type="dxa"/>
          </w:tcPr>
          <w:p w14:paraId="0EAE15E4" w14:textId="77777777" w:rsidR="007F0B84" w:rsidRDefault="007F0B84" w:rsidP="006C43CE"/>
        </w:tc>
      </w:tr>
      <w:tr w:rsidR="007F0B84" w14:paraId="2FF5BA01" w14:textId="77777777" w:rsidTr="00101BD0">
        <w:tc>
          <w:tcPr>
            <w:tcW w:w="6379" w:type="dxa"/>
          </w:tcPr>
          <w:p w14:paraId="2A05C532" w14:textId="77777777" w:rsidR="007F0B84" w:rsidRDefault="007F0B84" w:rsidP="006C43CE">
            <w:r>
              <w:t>Recipient of Funds (Borrower, Issuer)</w:t>
            </w:r>
          </w:p>
        </w:tc>
        <w:tc>
          <w:tcPr>
            <w:tcW w:w="1411" w:type="dxa"/>
          </w:tcPr>
          <w:p w14:paraId="3A6AD838" w14:textId="77777777" w:rsidR="007F0B84" w:rsidRDefault="007F0B84" w:rsidP="006C43CE"/>
        </w:tc>
      </w:tr>
      <w:tr w:rsidR="007F0B84" w14:paraId="413F7CDC" w14:textId="77777777" w:rsidTr="00101BD0">
        <w:tc>
          <w:tcPr>
            <w:tcW w:w="6379" w:type="dxa"/>
          </w:tcPr>
          <w:p w14:paraId="00ED9428" w14:textId="77777777" w:rsidR="007F0B84" w:rsidRDefault="007F0B84" w:rsidP="006C43CE">
            <w:r>
              <w:t>Tax residency of Recipient</w:t>
            </w:r>
          </w:p>
        </w:tc>
        <w:tc>
          <w:tcPr>
            <w:tcW w:w="1411" w:type="dxa"/>
          </w:tcPr>
          <w:p w14:paraId="35596333" w14:textId="77777777" w:rsidR="007F0B84" w:rsidRDefault="007F0B84" w:rsidP="006C43CE"/>
        </w:tc>
      </w:tr>
      <w:tr w:rsidR="007F0B84" w14:paraId="3D9C58FF" w14:textId="77777777" w:rsidTr="00101BD0">
        <w:tc>
          <w:tcPr>
            <w:tcW w:w="6379" w:type="dxa"/>
          </w:tcPr>
          <w:p w14:paraId="3BA5E764" w14:textId="77777777" w:rsidR="007F0B84" w:rsidRDefault="007F0B84" w:rsidP="006C43CE">
            <w:r>
              <w:t>Provider of Funds (Lender, Holder) (clearly state if the Provider/s are a related party or not)</w:t>
            </w:r>
          </w:p>
        </w:tc>
        <w:tc>
          <w:tcPr>
            <w:tcW w:w="1411" w:type="dxa"/>
          </w:tcPr>
          <w:p w14:paraId="66AAB2DB" w14:textId="77777777" w:rsidR="007F0B84" w:rsidRDefault="007F0B84" w:rsidP="006C43CE"/>
        </w:tc>
      </w:tr>
      <w:tr w:rsidR="007F0B84" w14:paraId="7653A052" w14:textId="77777777" w:rsidTr="00101BD0">
        <w:tc>
          <w:tcPr>
            <w:tcW w:w="6379" w:type="dxa"/>
          </w:tcPr>
          <w:p w14:paraId="320EF585" w14:textId="77777777" w:rsidR="007F0B84" w:rsidRDefault="007F0B84" w:rsidP="006C43CE">
            <w:r>
              <w:t>Tax residency of Provider</w:t>
            </w:r>
          </w:p>
        </w:tc>
        <w:tc>
          <w:tcPr>
            <w:tcW w:w="1411" w:type="dxa"/>
          </w:tcPr>
          <w:p w14:paraId="02EDC2B7" w14:textId="77777777" w:rsidR="007F0B84" w:rsidRDefault="007F0B84" w:rsidP="006C43CE"/>
        </w:tc>
      </w:tr>
      <w:tr w:rsidR="007F0B84" w14:paraId="72CEBEEA" w14:textId="77777777" w:rsidTr="00101BD0">
        <w:tc>
          <w:tcPr>
            <w:tcW w:w="6379" w:type="dxa"/>
          </w:tcPr>
          <w:p w14:paraId="013A72B1" w14:textId="77777777" w:rsidR="007F0B84" w:rsidRDefault="007F0B84" w:rsidP="006C43CE">
            <w:r>
              <w:t>Amount</w:t>
            </w:r>
          </w:p>
        </w:tc>
        <w:tc>
          <w:tcPr>
            <w:tcW w:w="1411" w:type="dxa"/>
          </w:tcPr>
          <w:p w14:paraId="3A4E8EF2" w14:textId="77777777" w:rsidR="007F0B84" w:rsidRDefault="007F0B84" w:rsidP="006C43CE"/>
        </w:tc>
      </w:tr>
      <w:tr w:rsidR="007F0B84" w14:paraId="18387DDB" w14:textId="77777777" w:rsidTr="00101BD0">
        <w:tc>
          <w:tcPr>
            <w:tcW w:w="6379" w:type="dxa"/>
          </w:tcPr>
          <w:p w14:paraId="007F1CFC" w14:textId="77777777" w:rsidR="007F0B84" w:rsidRDefault="007F0B84" w:rsidP="006C43CE">
            <w:r>
              <w:t>Tenor</w:t>
            </w:r>
          </w:p>
        </w:tc>
        <w:tc>
          <w:tcPr>
            <w:tcW w:w="1411" w:type="dxa"/>
          </w:tcPr>
          <w:p w14:paraId="27879A55" w14:textId="77777777" w:rsidR="007F0B84" w:rsidRDefault="007F0B84" w:rsidP="006C43CE"/>
        </w:tc>
      </w:tr>
      <w:tr w:rsidR="007F0B84" w14:paraId="0ABEB7FA" w14:textId="77777777" w:rsidTr="00101BD0">
        <w:tc>
          <w:tcPr>
            <w:tcW w:w="6379" w:type="dxa"/>
          </w:tcPr>
          <w:p w14:paraId="4A410AC5" w14:textId="77777777" w:rsidR="007F0B84" w:rsidRDefault="007F0B84" w:rsidP="006C43CE">
            <w:r>
              <w:t>Ranking (i.e. senior, subordinate, mezzanine)</w:t>
            </w:r>
          </w:p>
        </w:tc>
        <w:tc>
          <w:tcPr>
            <w:tcW w:w="1411" w:type="dxa"/>
          </w:tcPr>
          <w:p w14:paraId="3C46FF58" w14:textId="77777777" w:rsidR="007F0B84" w:rsidRDefault="007F0B84" w:rsidP="006C43CE"/>
        </w:tc>
      </w:tr>
      <w:tr w:rsidR="007F0B84" w14:paraId="10F001DC" w14:textId="77777777" w:rsidTr="00101BD0">
        <w:tc>
          <w:tcPr>
            <w:tcW w:w="6379" w:type="dxa"/>
          </w:tcPr>
          <w:p w14:paraId="51A49F9A" w14:textId="77777777" w:rsidR="007F0B84" w:rsidRDefault="007F0B84" w:rsidP="006C43CE">
            <w:r>
              <w:t>Currency</w:t>
            </w:r>
          </w:p>
        </w:tc>
        <w:tc>
          <w:tcPr>
            <w:tcW w:w="1411" w:type="dxa"/>
          </w:tcPr>
          <w:p w14:paraId="338BB01C" w14:textId="77777777" w:rsidR="007F0B84" w:rsidRDefault="007F0B84" w:rsidP="006C43CE"/>
        </w:tc>
      </w:tr>
      <w:tr w:rsidR="007F0B84" w14:paraId="0378EF7B" w14:textId="77777777" w:rsidTr="00101BD0">
        <w:tc>
          <w:tcPr>
            <w:tcW w:w="6379" w:type="dxa"/>
          </w:tcPr>
          <w:p w14:paraId="628406AC" w14:textId="77777777" w:rsidR="007F0B84" w:rsidRDefault="007F0B84" w:rsidP="006C43CE">
            <w:r>
              <w:t>Interest rate (</w:t>
            </w:r>
            <w:r w:rsidRPr="00200B25">
              <w:rPr>
                <w:i/>
                <w:iCs/>
              </w:rPr>
              <w:t xml:space="preserve">if currency is not AUD, </w:t>
            </w:r>
            <w:r>
              <w:rPr>
                <w:i/>
                <w:iCs/>
              </w:rPr>
              <w:t xml:space="preserve">then provide the </w:t>
            </w:r>
            <w:r w:rsidRPr="00200B25">
              <w:rPr>
                <w:i/>
                <w:iCs/>
              </w:rPr>
              <w:t>equivalent AUD rate</w:t>
            </w:r>
            <w:r>
              <w:t>)</w:t>
            </w:r>
          </w:p>
        </w:tc>
        <w:tc>
          <w:tcPr>
            <w:tcW w:w="1411" w:type="dxa"/>
          </w:tcPr>
          <w:p w14:paraId="7E00E5B3" w14:textId="77777777" w:rsidR="007F0B84" w:rsidRDefault="007F0B84" w:rsidP="006C43CE"/>
        </w:tc>
      </w:tr>
      <w:tr w:rsidR="007F0B84" w14:paraId="7E73745D" w14:textId="77777777" w:rsidTr="00101BD0">
        <w:tc>
          <w:tcPr>
            <w:tcW w:w="6379" w:type="dxa"/>
          </w:tcPr>
          <w:p w14:paraId="5187E114" w14:textId="77777777" w:rsidR="007F0B84" w:rsidRDefault="007F0B84" w:rsidP="006C43CE">
            <w:r>
              <w:t>Credit rating of the Borrower</w:t>
            </w:r>
          </w:p>
        </w:tc>
        <w:tc>
          <w:tcPr>
            <w:tcW w:w="1411" w:type="dxa"/>
          </w:tcPr>
          <w:p w14:paraId="64D29A39" w14:textId="77777777" w:rsidR="007F0B84" w:rsidRDefault="007F0B84" w:rsidP="006C43CE"/>
        </w:tc>
      </w:tr>
      <w:tr w:rsidR="007F0B84" w14:paraId="7013FD08" w14:textId="77777777" w:rsidTr="00101BD0">
        <w:tc>
          <w:tcPr>
            <w:tcW w:w="6379" w:type="dxa"/>
          </w:tcPr>
          <w:p w14:paraId="2E441710" w14:textId="77777777" w:rsidR="007F0B84" w:rsidRPr="00200B25" w:rsidRDefault="007F0B84" w:rsidP="006C43CE">
            <w:r>
              <w:t xml:space="preserve">Other features (security including copies of </w:t>
            </w:r>
            <w:r>
              <w:rPr>
                <w:i/>
                <w:iCs/>
              </w:rPr>
              <w:t xml:space="preserve">Personal Property Securities Act 2009 </w:t>
            </w:r>
            <w:r>
              <w:t>(</w:t>
            </w:r>
            <w:proofErr w:type="spellStart"/>
            <w:r>
              <w:t>Cth</w:t>
            </w:r>
            <w:proofErr w:type="spellEnd"/>
            <w:r>
              <w:t>) registration, restrictive covenants, guarantees, guarantee fee, contingencies, payment in kind, convertibility, options, withholding tax gross-up clause etc).</w:t>
            </w:r>
          </w:p>
        </w:tc>
        <w:tc>
          <w:tcPr>
            <w:tcW w:w="1411" w:type="dxa"/>
          </w:tcPr>
          <w:p w14:paraId="05357D49" w14:textId="77777777" w:rsidR="007F0B84" w:rsidRDefault="007F0B84" w:rsidP="006C43CE"/>
        </w:tc>
      </w:tr>
    </w:tbl>
    <w:p w14:paraId="2B6E5EEB" w14:textId="5E50BA07" w:rsidR="00303DEE" w:rsidRPr="007C6358" w:rsidRDefault="00303DEE" w:rsidP="002E3D3D">
      <w:pPr>
        <w:pStyle w:val="Heading4"/>
        <w:spacing w:after="240" w:line="240" w:lineRule="auto"/>
        <w:rPr>
          <w:b/>
          <w:bCs/>
        </w:rPr>
      </w:pPr>
      <w:r w:rsidRPr="007C6358">
        <w:rPr>
          <w:b/>
          <w:bCs/>
        </w:rPr>
        <w:lastRenderedPageBreak/>
        <w:t xml:space="preserve">Related </w:t>
      </w:r>
      <w:r w:rsidR="00EB6017" w:rsidRPr="007C6358">
        <w:rPr>
          <w:b/>
          <w:bCs/>
        </w:rPr>
        <w:t>p</w:t>
      </w:r>
      <w:r w:rsidRPr="007C6358">
        <w:rPr>
          <w:b/>
          <w:bCs/>
        </w:rPr>
        <w:t xml:space="preserve">arty </w:t>
      </w:r>
      <w:r w:rsidR="00EB6017" w:rsidRPr="007C6358">
        <w:rPr>
          <w:b/>
          <w:bCs/>
        </w:rPr>
        <w:t>f</w:t>
      </w:r>
      <w:r w:rsidRPr="007C6358">
        <w:rPr>
          <w:b/>
          <w:bCs/>
        </w:rPr>
        <w:t xml:space="preserve">inancing (RPF) </w:t>
      </w:r>
    </w:p>
    <w:p w14:paraId="443C1D0F" w14:textId="77E53D03" w:rsidR="00303DEE" w:rsidRDefault="00303DEE" w:rsidP="006C43CE">
      <w:pPr>
        <w:pStyle w:val="Bullet"/>
        <w:numPr>
          <w:ilvl w:val="0"/>
          <w:numId w:val="14"/>
        </w:numPr>
        <w:spacing w:line="240" w:lineRule="auto"/>
      </w:pPr>
      <w:r>
        <w:t xml:space="preserve">For any related party debt disclosed at Question 11 above, </w:t>
      </w:r>
      <w:proofErr w:type="gramStart"/>
      <w:r>
        <w:t>whether or not</w:t>
      </w:r>
      <w:proofErr w:type="gramEnd"/>
      <w:r>
        <w:t xml:space="preserve"> cross-border, having regard to Schedule 1 of the Practical Compliance Guideline 2017/4 (</w:t>
      </w:r>
      <w:r w:rsidRPr="00432C06">
        <w:rPr>
          <w:b/>
          <w:bCs/>
        </w:rPr>
        <w:t>PCG 2017/4</w:t>
      </w:r>
      <w:r>
        <w:t xml:space="preserve">), </w:t>
      </w:r>
      <w:r w:rsidR="005403CF">
        <w:t xml:space="preserve">you must </w:t>
      </w:r>
      <w:r>
        <w:t xml:space="preserve">advise for each: </w:t>
      </w:r>
    </w:p>
    <w:p w14:paraId="5133B16C" w14:textId="77777777" w:rsidR="00303DEE" w:rsidRDefault="00303DEE" w:rsidP="006C43CE">
      <w:pPr>
        <w:pStyle w:val="Bullet"/>
        <w:numPr>
          <w:ilvl w:val="1"/>
          <w:numId w:val="14"/>
        </w:numPr>
        <w:spacing w:line="240" w:lineRule="auto"/>
      </w:pPr>
      <w:r>
        <w:t xml:space="preserve">the risk rating, </w:t>
      </w:r>
    </w:p>
    <w:p w14:paraId="472A686E" w14:textId="77777777" w:rsidR="00303DEE" w:rsidRDefault="00303DEE" w:rsidP="006C43CE">
      <w:pPr>
        <w:pStyle w:val="Bullet"/>
        <w:numPr>
          <w:ilvl w:val="1"/>
          <w:numId w:val="14"/>
        </w:numPr>
        <w:spacing w:line="240" w:lineRule="auto"/>
      </w:pPr>
      <w:r>
        <w:t xml:space="preserve">how each price and behavioural indicator was scored, and </w:t>
      </w:r>
    </w:p>
    <w:p w14:paraId="40F528E4" w14:textId="77777777" w:rsidR="00303DEE" w:rsidRDefault="00303DEE" w:rsidP="006C43CE">
      <w:pPr>
        <w:pStyle w:val="Bullet"/>
        <w:numPr>
          <w:ilvl w:val="1"/>
          <w:numId w:val="14"/>
        </w:numPr>
        <w:spacing w:line="240" w:lineRule="auto"/>
      </w:pPr>
      <w:r>
        <w:t>which of the comparison options at paragraph 61 of Schedule 1 of PCG 2017/4 was used and the key terms of the debt (as set out in the table at question 8) and where the global cost of funds options is used, include the working papers created to calculate the cost.</w:t>
      </w:r>
    </w:p>
    <w:p w14:paraId="182E8002" w14:textId="325E385D" w:rsidR="00303DEE" w:rsidRDefault="003042E2" w:rsidP="006C43CE">
      <w:pPr>
        <w:pStyle w:val="Bullet"/>
        <w:numPr>
          <w:ilvl w:val="0"/>
          <w:numId w:val="14"/>
        </w:numPr>
        <w:spacing w:line="240" w:lineRule="auto"/>
      </w:pPr>
      <w:r>
        <w:t>Confirm whether there are any arrangements where a payment is expected to be made to the Investors or a non-resident associate of the Investors after the Transaction’s completion. If yes, then for</w:t>
      </w:r>
      <w:r w:rsidR="00303DEE">
        <w:t xml:space="preserve"> each </w:t>
      </w:r>
      <w:r>
        <w:t xml:space="preserve">such </w:t>
      </w:r>
      <w:r w:rsidR="00303DEE">
        <w:t>arrangement</w:t>
      </w:r>
      <w:r>
        <w:t>, you must provide</w:t>
      </w:r>
      <w:r w:rsidR="00303DEE">
        <w:t xml:space="preserve">: </w:t>
      </w:r>
    </w:p>
    <w:p w14:paraId="4AF183A6" w14:textId="77777777" w:rsidR="00303DEE" w:rsidRDefault="00303DEE" w:rsidP="006C43CE">
      <w:pPr>
        <w:pStyle w:val="Bullet"/>
        <w:numPr>
          <w:ilvl w:val="1"/>
          <w:numId w:val="17"/>
        </w:numPr>
        <w:spacing w:line="240" w:lineRule="auto"/>
      </w:pPr>
      <w:r>
        <w:t xml:space="preserve">the name and residency of the recipient, </w:t>
      </w:r>
    </w:p>
    <w:p w14:paraId="2E54569D" w14:textId="77777777" w:rsidR="00303DEE" w:rsidRDefault="00303DEE" w:rsidP="006C43CE">
      <w:pPr>
        <w:pStyle w:val="Bullet"/>
        <w:numPr>
          <w:ilvl w:val="1"/>
          <w:numId w:val="17"/>
        </w:numPr>
        <w:spacing w:line="240" w:lineRule="auto"/>
      </w:pPr>
      <w:r>
        <w:t>description of the payment’s characterisation for tax purposes in the hands of the recipient,</w:t>
      </w:r>
    </w:p>
    <w:p w14:paraId="748BA0AB" w14:textId="77777777" w:rsidR="00303DEE" w:rsidRDefault="00303DEE" w:rsidP="006C43CE">
      <w:pPr>
        <w:pStyle w:val="Bullet"/>
        <w:numPr>
          <w:ilvl w:val="1"/>
          <w:numId w:val="17"/>
        </w:numPr>
        <w:spacing w:line="240" w:lineRule="auto"/>
      </w:pPr>
      <w:r>
        <w:t xml:space="preserve">the proportion of the payment subject to withholding tax, </w:t>
      </w:r>
    </w:p>
    <w:p w14:paraId="2B9FC5F2" w14:textId="77777777" w:rsidR="00303DEE" w:rsidRDefault="00303DEE" w:rsidP="006C43CE">
      <w:pPr>
        <w:pStyle w:val="Bullet"/>
        <w:numPr>
          <w:ilvl w:val="1"/>
          <w:numId w:val="17"/>
        </w:numPr>
        <w:spacing w:line="240" w:lineRule="auto"/>
      </w:pPr>
      <w:r>
        <w:t xml:space="preserve">if the withholding tax rate is less than 10% or the payment is not subject to withholding tax, the reason(s) why, </w:t>
      </w:r>
    </w:p>
    <w:p w14:paraId="2B799847" w14:textId="77777777" w:rsidR="00303DEE" w:rsidRDefault="00303DEE" w:rsidP="006C43CE">
      <w:pPr>
        <w:pStyle w:val="Bullet"/>
        <w:numPr>
          <w:ilvl w:val="1"/>
          <w:numId w:val="17"/>
        </w:numPr>
        <w:spacing w:line="240" w:lineRule="auto"/>
      </w:pPr>
      <w:r>
        <w:t xml:space="preserve">confirmation of whether the arrangement was entered into on a back-to-back basis, and if so, details of the other loan or similar arrangement that provided the original funding, including the name and residency of the entities involved, a description of the tax and accounting characterisation of the arrangement and the associated payments in the relevant jurisdictions and the cumulative total tax rate the interest/distribution will be subject to, </w:t>
      </w:r>
    </w:p>
    <w:p w14:paraId="72D39A95" w14:textId="77777777" w:rsidR="00303DEE" w:rsidRDefault="00303DEE" w:rsidP="006C43CE">
      <w:pPr>
        <w:pStyle w:val="Bullet"/>
        <w:numPr>
          <w:ilvl w:val="1"/>
          <w:numId w:val="17"/>
        </w:numPr>
        <w:spacing w:line="240" w:lineRule="auto"/>
      </w:pPr>
      <w:r>
        <w:t xml:space="preserve">the tax treatment of the receipt for the non-resident entity receiving the distribution, including the effective tax rate it will be subject to, </w:t>
      </w:r>
    </w:p>
    <w:p w14:paraId="3ADE2836" w14:textId="77777777" w:rsidR="00303DEE" w:rsidRDefault="00303DEE" w:rsidP="006C43CE">
      <w:pPr>
        <w:pStyle w:val="Bullet"/>
        <w:numPr>
          <w:ilvl w:val="1"/>
          <w:numId w:val="17"/>
        </w:numPr>
        <w:spacing w:line="240" w:lineRule="auto"/>
      </w:pPr>
      <w:r>
        <w:t xml:space="preserve">analysis of the application of Subdivision 832-C of the ITAA 1997 to the arrangement, </w:t>
      </w:r>
    </w:p>
    <w:p w14:paraId="77B9709D" w14:textId="77777777" w:rsidR="00303DEE" w:rsidRDefault="00303DEE" w:rsidP="006C43CE">
      <w:pPr>
        <w:pStyle w:val="Bullet"/>
        <w:numPr>
          <w:ilvl w:val="1"/>
          <w:numId w:val="17"/>
        </w:numPr>
        <w:spacing w:line="240" w:lineRule="auto"/>
      </w:pPr>
      <w:r>
        <w:t xml:space="preserve">if the payment is </w:t>
      </w:r>
      <w:proofErr w:type="gramStart"/>
      <w:r>
        <w:t>in the nature of interest</w:t>
      </w:r>
      <w:proofErr w:type="gramEnd"/>
      <w:r>
        <w:t xml:space="preserve"> or an amount under a derivative financial arrangement and the payment is subject to a foreign tax rate of 10 per cent or less, confirm if the integrity rule in Subdivision 832-J of the ITAA 1997 applies, and </w:t>
      </w:r>
    </w:p>
    <w:p w14:paraId="20221E70" w14:textId="77777777" w:rsidR="00303DEE" w:rsidRDefault="00303DEE" w:rsidP="006C43CE">
      <w:pPr>
        <w:pStyle w:val="Bullet"/>
        <w:numPr>
          <w:ilvl w:val="1"/>
          <w:numId w:val="17"/>
        </w:numPr>
        <w:spacing w:line="240" w:lineRule="auto"/>
      </w:pPr>
      <w:r>
        <w:t xml:space="preserve">if the payment is in the nature of interest or an amount under a derivative financial arrangement and deductions were not denied under Subdivision 832-J of the ITAA 1997, advise the reason(s) for this and provide all the relevant details. The reason(s) may include: </w:t>
      </w:r>
    </w:p>
    <w:p w14:paraId="57F67BA3" w14:textId="77777777" w:rsidR="00303DEE" w:rsidRDefault="00303DEE" w:rsidP="006C43CE">
      <w:pPr>
        <w:pStyle w:val="Bullet"/>
        <w:numPr>
          <w:ilvl w:val="2"/>
          <w:numId w:val="17"/>
        </w:numPr>
        <w:spacing w:line="240" w:lineRule="auto"/>
      </w:pPr>
      <w:r>
        <w:t>Principal purpose test is not satisfied.</w:t>
      </w:r>
    </w:p>
    <w:p w14:paraId="25F20AF6" w14:textId="77777777" w:rsidR="00303DEE" w:rsidRDefault="00303DEE" w:rsidP="006C43CE">
      <w:pPr>
        <w:pStyle w:val="Bullet"/>
        <w:numPr>
          <w:ilvl w:val="2"/>
          <w:numId w:val="17"/>
        </w:numPr>
        <w:spacing w:line="240" w:lineRule="auto"/>
      </w:pPr>
      <w:r>
        <w:t>Same or lower rate of tax would have been paid by ultimate parent.</w:t>
      </w:r>
    </w:p>
    <w:p w14:paraId="519B44AD" w14:textId="77777777" w:rsidR="00303DEE" w:rsidRDefault="00303DEE" w:rsidP="006C43CE">
      <w:pPr>
        <w:pStyle w:val="Bullet"/>
        <w:numPr>
          <w:ilvl w:val="2"/>
          <w:numId w:val="17"/>
        </w:numPr>
        <w:spacing w:line="240" w:lineRule="auto"/>
      </w:pPr>
      <w:r>
        <w:t xml:space="preserve">It is reasonable to conclude that the amount of the payment has been considered under the CFC provisions (Part X of the ITAA 1936) and the sum of the attribution percentages of each attributable taxpayer in relation to the interposed foreign entity is at least 100%, or the payment has been taken into account under the law of a foreign </w:t>
      </w:r>
      <w:r>
        <w:lastRenderedPageBreak/>
        <w:t>country with substantially the same effect as the CFC provisions in Part X.</w:t>
      </w:r>
    </w:p>
    <w:p w14:paraId="5878C019" w14:textId="062914A4" w:rsidR="00303DEE" w:rsidRDefault="00303DEE" w:rsidP="006C43CE">
      <w:pPr>
        <w:pStyle w:val="Bullet"/>
        <w:numPr>
          <w:ilvl w:val="2"/>
          <w:numId w:val="17"/>
        </w:numPr>
        <w:spacing w:line="240" w:lineRule="auto"/>
      </w:pPr>
      <w:r>
        <w:t>The payment has given rise to a mismatch in an earlier Subdivision of 832.</w:t>
      </w:r>
    </w:p>
    <w:p w14:paraId="1010B460" w14:textId="5F61B123" w:rsidR="002072D8" w:rsidRPr="007C6358" w:rsidRDefault="002072D8" w:rsidP="00E97371">
      <w:pPr>
        <w:pStyle w:val="Heading4"/>
        <w:spacing w:after="240" w:line="240" w:lineRule="auto"/>
        <w:rPr>
          <w:b/>
          <w:bCs/>
        </w:rPr>
      </w:pPr>
      <w:r w:rsidRPr="007C6358">
        <w:rPr>
          <w:b/>
          <w:bCs/>
        </w:rPr>
        <w:t>Thin capitalisation</w:t>
      </w:r>
    </w:p>
    <w:p w14:paraId="3A783ADD" w14:textId="0B964030" w:rsidR="002072D8" w:rsidRDefault="002072D8" w:rsidP="006C43CE">
      <w:pPr>
        <w:pStyle w:val="ListParagraph"/>
        <w:numPr>
          <w:ilvl w:val="0"/>
          <w:numId w:val="14"/>
        </w:numPr>
      </w:pPr>
      <w:r>
        <w:t xml:space="preserve">For each entity described in Question 3, for the income year/s in which the </w:t>
      </w:r>
      <w:r w:rsidR="00593FAB">
        <w:t>T</w:t>
      </w:r>
      <w:r>
        <w:t xml:space="preserve">ransaction is to be undertaken (whether all or any part), you must advise whether the entity: </w:t>
      </w:r>
    </w:p>
    <w:p w14:paraId="317703D5" w14:textId="77777777" w:rsidR="002072D8" w:rsidRDefault="002072D8" w:rsidP="006C43CE">
      <w:pPr>
        <w:pStyle w:val="ListParagraph"/>
        <w:numPr>
          <w:ilvl w:val="1"/>
          <w:numId w:val="18"/>
        </w:numPr>
      </w:pPr>
      <w:r>
        <w:t>will be subject to the thin capitalisation rules in Division 820 of the ITAA 1997,</w:t>
      </w:r>
    </w:p>
    <w:p w14:paraId="3DDACA29" w14:textId="77777777" w:rsidR="002072D8" w:rsidRDefault="002072D8" w:rsidP="006C43CE">
      <w:pPr>
        <w:pStyle w:val="ListParagraph"/>
        <w:numPr>
          <w:ilvl w:val="1"/>
          <w:numId w:val="18"/>
        </w:numPr>
      </w:pPr>
      <w:r>
        <w:t xml:space="preserve">anticipates satisfying the asset threshold test in section 820-37 of the ITAA 1997, </w:t>
      </w:r>
    </w:p>
    <w:p w14:paraId="0D8A6130" w14:textId="1BB86BE6" w:rsidR="002072D8" w:rsidRDefault="002072D8" w:rsidP="006C43CE">
      <w:pPr>
        <w:pStyle w:val="ListParagraph"/>
        <w:numPr>
          <w:ilvl w:val="1"/>
          <w:numId w:val="18"/>
        </w:numPr>
      </w:pPr>
      <w:r>
        <w:t xml:space="preserve">anticipates claiming an exemption as a special purpose entity pursuant to section 820-39 of the ITAA 1997 (including any part of the </w:t>
      </w:r>
      <w:proofErr w:type="gramStart"/>
      <w:r>
        <w:t>entity’s controlled</w:t>
      </w:r>
      <w:proofErr w:type="gramEnd"/>
      <w:r>
        <w:t xml:space="preserve"> member/s where the entity is the head entity of a tax consolidated group or MEC group),</w:t>
      </w:r>
    </w:p>
    <w:p w14:paraId="10BF1D32" w14:textId="77777777" w:rsidR="002072D8" w:rsidRDefault="002072D8" w:rsidP="006C43CE">
      <w:pPr>
        <w:pStyle w:val="ListParagraph"/>
        <w:numPr>
          <w:ilvl w:val="1"/>
          <w:numId w:val="18"/>
        </w:numPr>
      </w:pPr>
      <w:r>
        <w:t xml:space="preserve">anticipates applying the fixed ratio test or group ratio test, </w:t>
      </w:r>
    </w:p>
    <w:p w14:paraId="483E10A0" w14:textId="0AEDA40D" w:rsidR="002072D8" w:rsidRDefault="002072D8" w:rsidP="006C43CE">
      <w:pPr>
        <w:pStyle w:val="ListParagraph"/>
        <w:numPr>
          <w:ilvl w:val="1"/>
          <w:numId w:val="18"/>
        </w:numPr>
      </w:pPr>
      <w:r>
        <w:t xml:space="preserve">anticipates applying the </w:t>
      </w:r>
      <w:proofErr w:type="gramStart"/>
      <w:r>
        <w:t>third party</w:t>
      </w:r>
      <w:proofErr w:type="gramEnd"/>
      <w:r>
        <w:t xml:space="preserve"> debt test and/or using the conduit financing conditions in sections 820-427B and 820-427C of the ITAA 1997.</w:t>
      </w:r>
    </w:p>
    <w:p w14:paraId="0D87BE76" w14:textId="7201579A" w:rsidR="00C8202D" w:rsidRPr="007C6358" w:rsidRDefault="00C8202D" w:rsidP="00E97371">
      <w:pPr>
        <w:pStyle w:val="Heading4"/>
        <w:spacing w:after="240" w:line="240" w:lineRule="auto"/>
        <w:rPr>
          <w:b/>
          <w:bCs/>
        </w:rPr>
      </w:pPr>
      <w:r w:rsidRPr="007C6358">
        <w:rPr>
          <w:b/>
          <w:bCs/>
        </w:rPr>
        <w:t xml:space="preserve">Debt </w:t>
      </w:r>
      <w:r w:rsidR="00EB6017" w:rsidRPr="007C6358">
        <w:rPr>
          <w:b/>
          <w:bCs/>
        </w:rPr>
        <w:t>d</w:t>
      </w:r>
      <w:r w:rsidRPr="007C6358">
        <w:rPr>
          <w:b/>
          <w:bCs/>
        </w:rPr>
        <w:t xml:space="preserve">eduction </w:t>
      </w:r>
      <w:r w:rsidR="00EB6017" w:rsidRPr="007C6358">
        <w:rPr>
          <w:b/>
          <w:bCs/>
        </w:rPr>
        <w:t>c</w:t>
      </w:r>
      <w:r w:rsidRPr="007C6358">
        <w:rPr>
          <w:b/>
          <w:bCs/>
        </w:rPr>
        <w:t xml:space="preserve">reation </w:t>
      </w:r>
      <w:r w:rsidR="00EB6017" w:rsidRPr="007C6358">
        <w:rPr>
          <w:b/>
          <w:bCs/>
        </w:rPr>
        <w:t>r</w:t>
      </w:r>
      <w:r w:rsidRPr="007C6358">
        <w:rPr>
          <w:b/>
          <w:bCs/>
        </w:rPr>
        <w:t>ules (DDCR)</w:t>
      </w:r>
    </w:p>
    <w:p w14:paraId="2BA27CCD" w14:textId="77777777" w:rsidR="00C8202D" w:rsidRDefault="00C8202D" w:rsidP="006C43CE">
      <w:pPr>
        <w:pStyle w:val="ListParagraph"/>
        <w:numPr>
          <w:ilvl w:val="0"/>
          <w:numId w:val="14"/>
        </w:numPr>
      </w:pPr>
      <w:r>
        <w:t xml:space="preserve">For each entity described in Question 3, for the income year/s in which the Transaction is to be undertaken (whether all or any part) that commences on or after 1 July 2024, if the entity has debt deductions in the income year, you must advise whether the entity:  </w:t>
      </w:r>
    </w:p>
    <w:p w14:paraId="139A8656" w14:textId="77777777" w:rsidR="00C8202D" w:rsidRDefault="00C8202D" w:rsidP="00373E83">
      <w:pPr>
        <w:pStyle w:val="ListParagraph"/>
        <w:numPr>
          <w:ilvl w:val="0"/>
          <w:numId w:val="30"/>
        </w:numPr>
      </w:pPr>
      <w:r>
        <w:t>will be subject to the DDCR in Subdivision 820-EAA of the ITAA 1997,</w:t>
      </w:r>
    </w:p>
    <w:p w14:paraId="2A205E1F" w14:textId="77777777" w:rsidR="00C8202D" w:rsidRDefault="00C8202D" w:rsidP="00373E83">
      <w:pPr>
        <w:pStyle w:val="ListParagraph"/>
        <w:numPr>
          <w:ilvl w:val="0"/>
          <w:numId w:val="30"/>
        </w:numPr>
      </w:pPr>
      <w:r>
        <w:t>anticipates the DDCR applying to disallow debt deductions arising in relation to pre-existing arrangements (as relevant),</w:t>
      </w:r>
    </w:p>
    <w:p w14:paraId="36C78CAD" w14:textId="2D3782A3" w:rsidR="00C8202D" w:rsidRDefault="00C8202D" w:rsidP="00373E83">
      <w:pPr>
        <w:pStyle w:val="ListParagraph"/>
        <w:numPr>
          <w:ilvl w:val="0"/>
          <w:numId w:val="30"/>
        </w:numPr>
      </w:pPr>
      <w:r>
        <w:t xml:space="preserve">anticipates acquiring any CGT assets or legal or equitable obligation from an associate pair in connection with the </w:t>
      </w:r>
      <w:r w:rsidR="00593FAB">
        <w:t>T</w:t>
      </w:r>
      <w:r>
        <w:t>ransaction, and</w:t>
      </w:r>
    </w:p>
    <w:p w14:paraId="6E93F742" w14:textId="75E45399" w:rsidR="00C8202D" w:rsidRDefault="00C8202D" w:rsidP="00373E83">
      <w:pPr>
        <w:pStyle w:val="ListParagraph"/>
        <w:numPr>
          <w:ilvl w:val="0"/>
          <w:numId w:val="30"/>
        </w:numPr>
      </w:pPr>
      <w:r>
        <w:t xml:space="preserve">anticipates using a financial arrangement to fund or facilitate the funding of a payment or distribution covered by subsection 820-423A(5A) of the ITAA 1997 in connection with the </w:t>
      </w:r>
      <w:r w:rsidR="00593FAB">
        <w:t>T</w:t>
      </w:r>
      <w:r>
        <w:t>ransaction.</w:t>
      </w:r>
    </w:p>
    <w:p w14:paraId="2976C8BA" w14:textId="2E812602" w:rsidR="00111637" w:rsidRDefault="00B2646A" w:rsidP="00E97371">
      <w:pPr>
        <w:pStyle w:val="Heading3"/>
      </w:pPr>
      <w:r w:rsidRPr="00646565">
        <w:rPr>
          <w:rFonts w:ascii="Calibri Light" w:hAnsi="Calibri Light"/>
          <w:bCs/>
          <w:sz w:val="22"/>
        </w:rPr>
        <w:t>[I</w:t>
      </w:r>
      <w:r w:rsidR="00D03AC7" w:rsidRPr="00646565">
        <w:rPr>
          <w:rFonts w:ascii="Calibri Light" w:hAnsi="Calibri Light"/>
          <w:bCs/>
          <w:sz w:val="22"/>
        </w:rPr>
        <w:t xml:space="preserve">f applicable] </w:t>
      </w:r>
      <w:r w:rsidR="00111637" w:rsidRPr="00E97371">
        <w:rPr>
          <w:rFonts w:ascii="Calibri Light" w:hAnsi="Calibri Light"/>
          <w:sz w:val="22"/>
        </w:rPr>
        <w:t>Interest withholding tax exemption and the public offer test</w:t>
      </w:r>
    </w:p>
    <w:p w14:paraId="3ACAA18D" w14:textId="08264AF9" w:rsidR="00A221B4" w:rsidRDefault="00E7388F" w:rsidP="006C43CE">
      <w:r w:rsidRPr="00E7388F">
        <w:t xml:space="preserve">This </w:t>
      </w:r>
      <w:r w:rsidR="00AF1D42">
        <w:t>subsection</w:t>
      </w:r>
      <w:r w:rsidRPr="00E7388F">
        <w:t xml:space="preserve"> applies to </w:t>
      </w:r>
      <w:r w:rsidR="00B47BF8">
        <w:t xml:space="preserve">the </w:t>
      </w:r>
      <w:r w:rsidR="00B47BF8" w:rsidRPr="00E7388F">
        <w:t xml:space="preserve">public offer test </w:t>
      </w:r>
      <w:r w:rsidR="00B47BF8">
        <w:t xml:space="preserve">exemption for </w:t>
      </w:r>
      <w:r w:rsidRPr="00E7388F">
        <w:t>interest withholding ta</w:t>
      </w:r>
      <w:r w:rsidR="00B47BF8">
        <w:t>x. If the public offer test</w:t>
      </w:r>
      <w:r w:rsidRPr="00E7388F">
        <w:t xml:space="preserve"> is not</w:t>
      </w:r>
      <w:r w:rsidR="00B47BF8">
        <w:t xml:space="preserve"> being</w:t>
      </w:r>
      <w:r w:rsidRPr="00E7388F">
        <w:t xml:space="preserve"> relied upon,</w:t>
      </w:r>
      <w:r w:rsidR="003F6358">
        <w:t xml:space="preserve"> then you </w:t>
      </w:r>
      <w:r w:rsidR="003F6358" w:rsidRPr="007C081B">
        <w:rPr>
          <w:u w:val="single"/>
        </w:rPr>
        <w:t>do not need</w:t>
      </w:r>
      <w:r w:rsidR="003F6358">
        <w:t xml:space="preserve"> to complete this section </w:t>
      </w:r>
      <w:r w:rsidR="001F15B6">
        <w:t xml:space="preserve">when </w:t>
      </w:r>
      <w:r w:rsidR="003F6358">
        <w:t>submitting your application.</w:t>
      </w:r>
    </w:p>
    <w:p w14:paraId="01120101" w14:textId="73AB65F6" w:rsidR="00A221B4" w:rsidRDefault="00A221B4" w:rsidP="006C43CE">
      <w:pPr>
        <w:pStyle w:val="ListParagraph"/>
        <w:numPr>
          <w:ilvl w:val="0"/>
          <w:numId w:val="14"/>
        </w:numPr>
      </w:pPr>
      <w:r>
        <w:t>If the ‘public offer test’ exemption from interest withholding tax in section 128F of the ITAA 1936 is being relied upon, describe the process (and provide evidence of that process) by which the debt interests or debentures have been publicly offered, to meet the requirements of the ‘public offer test’. You must include:</w:t>
      </w:r>
    </w:p>
    <w:p w14:paraId="7009C74B" w14:textId="77777777" w:rsidR="00A221B4" w:rsidRDefault="00A221B4" w:rsidP="0045424C">
      <w:pPr>
        <w:pStyle w:val="ListParagraph"/>
        <w:numPr>
          <w:ilvl w:val="0"/>
          <w:numId w:val="32"/>
        </w:numPr>
      </w:pPr>
      <w:r>
        <w:t xml:space="preserve">details as to which ‘public offer test’ was satisfied under subsection 128F (3), (3A) or (4), </w:t>
      </w:r>
    </w:p>
    <w:p w14:paraId="787C1FA0" w14:textId="77777777" w:rsidR="00A221B4" w:rsidRDefault="00A221B4" w:rsidP="0045424C">
      <w:pPr>
        <w:pStyle w:val="ListParagraph"/>
        <w:numPr>
          <w:ilvl w:val="0"/>
          <w:numId w:val="32"/>
        </w:numPr>
      </w:pPr>
      <w:r>
        <w:t>the list of parties to which an invitation was made in relation to the public offer (</w:t>
      </w:r>
      <w:proofErr w:type="gramStart"/>
      <w:r>
        <w:t>whether or not</w:t>
      </w:r>
      <w:proofErr w:type="gramEnd"/>
      <w:r>
        <w:t xml:space="preserve"> they ultimately took up the offer), </w:t>
      </w:r>
    </w:p>
    <w:p w14:paraId="67D91F25" w14:textId="77777777" w:rsidR="00A221B4" w:rsidRDefault="00A221B4" w:rsidP="0045424C">
      <w:pPr>
        <w:pStyle w:val="ListParagraph"/>
        <w:numPr>
          <w:ilvl w:val="0"/>
          <w:numId w:val="32"/>
        </w:numPr>
      </w:pPr>
      <w:r>
        <w:lastRenderedPageBreak/>
        <w:t xml:space="preserve">any publication, offering circular, brochure, prospectus, information memoranda or other similar marketing document related to the subscription, </w:t>
      </w:r>
    </w:p>
    <w:p w14:paraId="3F3AFC2B" w14:textId="77777777" w:rsidR="00A221B4" w:rsidRDefault="00A221B4" w:rsidP="0045424C">
      <w:pPr>
        <w:pStyle w:val="ListParagraph"/>
        <w:numPr>
          <w:ilvl w:val="0"/>
          <w:numId w:val="32"/>
        </w:numPr>
      </w:pPr>
      <w:r>
        <w:t xml:space="preserve">any draft term sheet or equivalent that was provided, and </w:t>
      </w:r>
    </w:p>
    <w:p w14:paraId="49F31F91" w14:textId="0C23F975" w:rsidR="00C8202D" w:rsidRDefault="00A221B4" w:rsidP="0045424C">
      <w:pPr>
        <w:pStyle w:val="ListParagraph"/>
        <w:numPr>
          <w:ilvl w:val="0"/>
          <w:numId w:val="32"/>
        </w:numPr>
      </w:pPr>
      <w:r>
        <w:t>confirmation of whether any dealer, manager or underwriter was involved with your capital raising process. If so, provide names, descriptions, agreements, and any marketing documents produced by the dealer, manager, or underwriter.</w:t>
      </w:r>
    </w:p>
    <w:p w14:paraId="6E4E1C70" w14:textId="4F6FBF78" w:rsidR="0098176C" w:rsidRPr="00E97371" w:rsidRDefault="00D03AC7" w:rsidP="00E97371">
      <w:pPr>
        <w:pStyle w:val="Heading3"/>
      </w:pPr>
      <w:r w:rsidRPr="00646565">
        <w:t>[If applicable]</w:t>
      </w:r>
      <w:r w:rsidRPr="00E97371">
        <w:t xml:space="preserve"> </w:t>
      </w:r>
      <w:r w:rsidR="0098176C" w:rsidRPr="00646565">
        <w:t>Private capital considerations</w:t>
      </w:r>
    </w:p>
    <w:p w14:paraId="301E54E9" w14:textId="3F9F9859" w:rsidR="004D7233" w:rsidRDefault="004D7233" w:rsidP="006C43CE">
      <w:r>
        <w:t>This section applies</w:t>
      </w:r>
      <w:r w:rsidR="007C081B">
        <w:t xml:space="preserve"> if</w:t>
      </w:r>
      <w:r>
        <w:t xml:space="preserve"> private equity, venture capital</w:t>
      </w:r>
      <w:r w:rsidR="003F6358">
        <w:t xml:space="preserve">, </w:t>
      </w:r>
      <w:r w:rsidR="007C081B">
        <w:t>or</w:t>
      </w:r>
      <w:r>
        <w:t xml:space="preserve"> private capital funds (including infrastructure funds)</w:t>
      </w:r>
      <w:r w:rsidR="007C081B">
        <w:t xml:space="preserve"> participate in the </w:t>
      </w:r>
      <w:r w:rsidR="002D010E">
        <w:t>T</w:t>
      </w:r>
      <w:r w:rsidR="007C081B">
        <w:t>ransaction,</w:t>
      </w:r>
      <w:r w:rsidR="00C5360E">
        <w:t xml:space="preserve"> including where they directly or indirectly acquire, hold, dispose of, or otherwise have an ownership or economic interest in acquirer, vendor, or target.</w:t>
      </w:r>
      <w:r w:rsidR="007C081B">
        <w:t xml:space="preserve"> </w:t>
      </w:r>
      <w:r>
        <w:t>If</w:t>
      </w:r>
      <w:r w:rsidR="007C081B">
        <w:t xml:space="preserve"> no</w:t>
      </w:r>
      <w:r>
        <w:t xml:space="preserve"> </w:t>
      </w:r>
      <w:r w:rsidR="007C081B">
        <w:t>such entities</w:t>
      </w:r>
      <w:r>
        <w:t xml:space="preserve"> </w:t>
      </w:r>
      <w:r w:rsidR="007C081B">
        <w:t>participate in</w:t>
      </w:r>
      <w:r>
        <w:t xml:space="preserve"> the Transaction</w:t>
      </w:r>
      <w:r w:rsidR="007C081B">
        <w:t>,</w:t>
      </w:r>
      <w:r w:rsidR="003F6358">
        <w:t xml:space="preserve"> you </w:t>
      </w:r>
      <w:r w:rsidR="003F6358" w:rsidRPr="007C081B">
        <w:rPr>
          <w:u w:val="single"/>
        </w:rPr>
        <w:t>do not need</w:t>
      </w:r>
      <w:r w:rsidR="003F6358">
        <w:t xml:space="preserve"> to complete this section</w:t>
      </w:r>
      <w:r w:rsidR="00C5360E">
        <w:t xml:space="preserve"> when</w:t>
      </w:r>
      <w:r w:rsidR="003F6358">
        <w:t xml:space="preserve"> submitting your application.</w:t>
      </w:r>
    </w:p>
    <w:p w14:paraId="16AC2EC9" w14:textId="6C08D499" w:rsidR="004D7233" w:rsidRDefault="004D7233" w:rsidP="006C43CE">
      <w:pPr>
        <w:pStyle w:val="ListParagraph"/>
        <w:numPr>
          <w:ilvl w:val="0"/>
          <w:numId w:val="14"/>
        </w:numPr>
      </w:pPr>
      <w:r>
        <w:t>Provide a full and complete ownership structure</w:t>
      </w:r>
      <w:r w:rsidR="004614D0">
        <w:t xml:space="preserve"> chart</w:t>
      </w:r>
      <w:r>
        <w:t xml:space="preserve"> that includes the details of all entities between each fund and the target(s). </w:t>
      </w:r>
    </w:p>
    <w:p w14:paraId="668B9B13" w14:textId="423E95D6" w:rsidR="004D7233" w:rsidRDefault="004D7233" w:rsidP="006C43CE">
      <w:pPr>
        <w:pStyle w:val="ListParagraph"/>
        <w:numPr>
          <w:ilvl w:val="0"/>
          <w:numId w:val="14"/>
        </w:numPr>
      </w:pPr>
      <w:r>
        <w:t xml:space="preserve">Provide complete descriptions of the functions, roles, </w:t>
      </w:r>
      <w:r w:rsidR="00752D9F">
        <w:t>responsibilities</w:t>
      </w:r>
      <w:r w:rsidR="004614D0">
        <w:t xml:space="preserve">, </w:t>
      </w:r>
      <w:r>
        <w:t>commercial purpose</w:t>
      </w:r>
      <w:r w:rsidR="004614D0">
        <w:t xml:space="preserve"> and jurisdictions of establishment and operation</w:t>
      </w:r>
      <w:r>
        <w:t xml:space="preserve"> of all interposed entities located between the fund</w:t>
      </w:r>
      <w:r w:rsidR="004614D0">
        <w:t>(</w:t>
      </w:r>
      <w:r>
        <w:t>s</w:t>
      </w:r>
      <w:r w:rsidR="004614D0">
        <w:t>)</w:t>
      </w:r>
      <w:r>
        <w:t xml:space="preserve"> and the target(s). </w:t>
      </w:r>
    </w:p>
    <w:p w14:paraId="14C921BD" w14:textId="2C2FC715" w:rsidR="004D7233" w:rsidRDefault="004D7233" w:rsidP="006C43CE">
      <w:pPr>
        <w:pStyle w:val="ListParagraph"/>
        <w:numPr>
          <w:ilvl w:val="0"/>
          <w:numId w:val="14"/>
        </w:numPr>
      </w:pPr>
      <w:r>
        <w:t xml:space="preserve">Provide </w:t>
      </w:r>
      <w:r w:rsidR="00395DD2">
        <w:t>details of how</w:t>
      </w:r>
      <w:r>
        <w:t xml:space="preserve"> the interposed entities carry out (or will carry out) their functions, roles and responsibilities</w:t>
      </w:r>
      <w:r w:rsidR="00395DD2">
        <w:t>, including whether these activities are (or will be) undertaken by directors, salaried employees, contracted service providers et</w:t>
      </w:r>
      <w:r w:rsidR="00110BDC">
        <w:t>c. and the residency/jurisdictions of those individuals or service providers.</w:t>
      </w:r>
      <w:r>
        <w:t xml:space="preserve"> </w:t>
      </w:r>
    </w:p>
    <w:p w14:paraId="274CF6F9" w14:textId="701A9A3E" w:rsidR="006E6DD7" w:rsidRDefault="004D7233" w:rsidP="006C43CE">
      <w:pPr>
        <w:pStyle w:val="ListParagraph"/>
        <w:numPr>
          <w:ilvl w:val="0"/>
          <w:numId w:val="14"/>
        </w:numPr>
      </w:pPr>
      <w:r>
        <w:t xml:space="preserve">Advise for each fund </w:t>
      </w:r>
      <w:r w:rsidR="002843DF">
        <w:t xml:space="preserve">whether </w:t>
      </w:r>
      <w:r>
        <w:t xml:space="preserve">a partner, director, employee, or other delegate of the </w:t>
      </w:r>
      <w:r w:rsidR="002843DF">
        <w:t>fund or its managing firm will</w:t>
      </w:r>
      <w:r>
        <w:t xml:space="preserve"> be appointed to the </w:t>
      </w:r>
      <w:r w:rsidR="002843DF">
        <w:t>b</w:t>
      </w:r>
      <w:r>
        <w:t xml:space="preserve">oard, management or other key role of any Australian entities in connection with the </w:t>
      </w:r>
      <w:r w:rsidR="002843DF">
        <w:t>T</w:t>
      </w:r>
      <w:r>
        <w:t>ransaction</w:t>
      </w:r>
      <w:r w:rsidR="00CB5A9A">
        <w:t>, regardless of their location</w:t>
      </w:r>
      <w:r w:rsidR="002843DF">
        <w:t>.</w:t>
      </w:r>
      <w:r>
        <w:t xml:space="preserve"> If yes, provide details</w:t>
      </w:r>
      <w:r w:rsidR="00CB5A9A">
        <w:t xml:space="preserve"> of the relevant individual(s), their role, the entity to which they will be appointed, the nature and extent of their responsibilities, and the entity by which they are employed or engaged.</w:t>
      </w:r>
    </w:p>
    <w:p w14:paraId="73D05086" w14:textId="11534D64" w:rsidR="00CB5A9A" w:rsidRDefault="00CB5A9A" w:rsidP="006C43CE">
      <w:pPr>
        <w:pStyle w:val="ListParagraph"/>
        <w:numPr>
          <w:ilvl w:val="0"/>
          <w:numId w:val="14"/>
        </w:numPr>
      </w:pPr>
      <w:r>
        <w:t xml:space="preserve">Advise for each fund and its managing firm whether it has a presence or office in Australia. If yes, provide details. </w:t>
      </w:r>
    </w:p>
    <w:p w14:paraId="5F90BE1E" w14:textId="26D3E46D" w:rsidR="006E6DD7" w:rsidRDefault="00D03AC7" w:rsidP="006C43CE">
      <w:pPr>
        <w:pStyle w:val="Heading3"/>
        <w:spacing w:line="240" w:lineRule="auto"/>
      </w:pPr>
      <w:r w:rsidRPr="00D03AC7">
        <w:t>[If applicable]</w:t>
      </w:r>
      <w:r w:rsidRPr="00E97371">
        <w:t xml:space="preserve"> </w:t>
      </w:r>
      <w:r w:rsidR="006E6DD7" w:rsidRPr="008C76D6">
        <w:t>Intangible asset migration</w:t>
      </w:r>
      <w:r w:rsidR="00A70E68">
        <w:t xml:space="preserve"> </w:t>
      </w:r>
    </w:p>
    <w:p w14:paraId="4EDA7D75" w14:textId="221525CC" w:rsidR="006E6DD7" w:rsidRDefault="006E6DD7" w:rsidP="006C43CE">
      <w:r>
        <w:t>This section applies to target(s) which are intangibles or whose assets include intangibles. If no target(s) in the Transaction have intangibles,</w:t>
      </w:r>
      <w:r w:rsidR="001B07E5">
        <w:t xml:space="preserve"> </w:t>
      </w:r>
      <w:r w:rsidR="003F6358">
        <w:t xml:space="preserve">then you </w:t>
      </w:r>
      <w:r w:rsidR="003F6358" w:rsidRPr="001B07E5">
        <w:rPr>
          <w:u w:val="single"/>
        </w:rPr>
        <w:t>do not need</w:t>
      </w:r>
      <w:r w:rsidR="003F6358">
        <w:t xml:space="preserve"> to complete this section </w:t>
      </w:r>
      <w:r w:rsidR="00D03AC7">
        <w:t xml:space="preserve">when </w:t>
      </w:r>
      <w:r w:rsidR="003F6358">
        <w:t>submitting your application.</w:t>
      </w:r>
    </w:p>
    <w:p w14:paraId="75F1A8B7" w14:textId="4DA4F969" w:rsidR="006E6DD7" w:rsidRDefault="006E6DD7" w:rsidP="006C43CE">
      <w:pPr>
        <w:pStyle w:val="ListParagraph"/>
        <w:numPr>
          <w:ilvl w:val="0"/>
          <w:numId w:val="14"/>
        </w:numPr>
      </w:pPr>
      <w:r>
        <w:t xml:space="preserve">Provide details of each planned, proposed or anticipated arrangement to transfer, create or assign rights, or otherwise make available any intangible assets from Australia to offshore related parties in connection with the Transaction, including: </w:t>
      </w:r>
    </w:p>
    <w:p w14:paraId="2EAA7462" w14:textId="77777777" w:rsidR="006E6DD7" w:rsidRDefault="006E6DD7" w:rsidP="006C43CE">
      <w:pPr>
        <w:pStyle w:val="ListParagraph"/>
        <w:numPr>
          <w:ilvl w:val="1"/>
          <w:numId w:val="23"/>
        </w:numPr>
      </w:pPr>
      <w:r>
        <w:t>details of the arrangement(s), including the names and tax residency of the entities involved and a step plan where applicable,</w:t>
      </w:r>
    </w:p>
    <w:p w14:paraId="229C076D" w14:textId="77777777" w:rsidR="006E6DD7" w:rsidRDefault="006E6DD7" w:rsidP="006C43CE">
      <w:pPr>
        <w:pStyle w:val="ListParagraph"/>
        <w:numPr>
          <w:ilvl w:val="1"/>
          <w:numId w:val="23"/>
        </w:numPr>
      </w:pPr>
      <w:r>
        <w:t>all commercial and non-tax reasons for the proposed arrangement(s), and</w:t>
      </w:r>
    </w:p>
    <w:p w14:paraId="30D099B1" w14:textId="77777777" w:rsidR="006E6DD7" w:rsidRDefault="006E6DD7" w:rsidP="006C43CE">
      <w:pPr>
        <w:pStyle w:val="ListParagraph"/>
        <w:numPr>
          <w:ilvl w:val="1"/>
          <w:numId w:val="23"/>
        </w:numPr>
      </w:pPr>
      <w:r>
        <w:t xml:space="preserve">details of the anticipated Australian and foreign tax outcomes in connection with the arrangement(s). </w:t>
      </w:r>
    </w:p>
    <w:p w14:paraId="39D693D4" w14:textId="72559CF6" w:rsidR="001140B4" w:rsidRDefault="006E6DD7" w:rsidP="006C43CE">
      <w:pPr>
        <w:pStyle w:val="ListParagraph"/>
        <w:numPr>
          <w:ilvl w:val="0"/>
          <w:numId w:val="14"/>
        </w:numPr>
      </w:pPr>
      <w:r>
        <w:t xml:space="preserve">Provide details of all planned, proposed or anticipated changes to the activities, assets and risks of the </w:t>
      </w:r>
      <w:r w:rsidR="00180060">
        <w:t>Australian target(s)</w:t>
      </w:r>
      <w:r>
        <w:t xml:space="preserve"> (or the Australian economic group) relating to the </w:t>
      </w:r>
      <w:r>
        <w:lastRenderedPageBreak/>
        <w:t>development, enhancement, maintenance, protection or exploitation of intangible assets in connection with the Transaction.</w:t>
      </w:r>
    </w:p>
    <w:p w14:paraId="3C8E2DD5" w14:textId="77777777" w:rsidR="00A41FB8" w:rsidRDefault="00A41FB8" w:rsidP="00A41FB8">
      <w:pPr>
        <w:pStyle w:val="Heading3"/>
        <w:spacing w:line="240" w:lineRule="auto"/>
      </w:pPr>
      <w:r>
        <w:t xml:space="preserve">[If applicable] </w:t>
      </w:r>
      <w:r w:rsidRPr="007C6358">
        <w:t>Managed Investment Trusts</w:t>
      </w:r>
    </w:p>
    <w:p w14:paraId="358124F6" w14:textId="77777777" w:rsidR="00A41FB8" w:rsidRDefault="00A41FB8" w:rsidP="00A41FB8">
      <w:r>
        <w:t xml:space="preserve">This section applies to group structures which involve MITs. If no entity in the Transaction has a group structure involving managed investment trusts, you </w:t>
      </w:r>
      <w:r w:rsidRPr="001B07E5">
        <w:rPr>
          <w:u w:val="single"/>
        </w:rPr>
        <w:t>do not need</w:t>
      </w:r>
      <w:r>
        <w:t xml:space="preserve"> to complete this section when submitting your application.</w:t>
      </w:r>
    </w:p>
    <w:p w14:paraId="6C1E701D" w14:textId="3B6040A4" w:rsidR="00A41FB8" w:rsidRDefault="00A41FB8" w:rsidP="002E3D3D">
      <w:pPr>
        <w:pStyle w:val="ListParagraph"/>
        <w:numPr>
          <w:ilvl w:val="0"/>
          <w:numId w:val="14"/>
        </w:numPr>
      </w:pPr>
      <w:r>
        <w:t>Provide a detailed explanation of how all MITs within the structure satisfy the MIT eligibility requirements with reference to Subdivision 275-A of the ITAA 1997. Your response must include an explanation of how each requirement in section 275-10 is satisfied.</w:t>
      </w:r>
    </w:p>
    <w:p w14:paraId="3B76F150" w14:textId="0B12D267" w:rsidR="001140B4" w:rsidRPr="00BB33DA" w:rsidRDefault="00D03AC7" w:rsidP="006C43CE">
      <w:pPr>
        <w:pStyle w:val="Heading3"/>
        <w:spacing w:line="240" w:lineRule="auto"/>
      </w:pPr>
      <w:r>
        <w:t xml:space="preserve">[If applicable] </w:t>
      </w:r>
      <w:r w:rsidR="001140B4" w:rsidRPr="0074782E">
        <w:t>Non-concessional Managed Investment Trust income</w:t>
      </w:r>
      <w:r w:rsidR="00A70E68" w:rsidRPr="0074782E">
        <w:t xml:space="preserve"> </w:t>
      </w:r>
    </w:p>
    <w:p w14:paraId="1F1C7A01" w14:textId="6A9B79BF" w:rsidR="004A513B" w:rsidRDefault="004A513B" w:rsidP="006C43CE">
      <w:r>
        <w:t xml:space="preserve">This section applies to stapled groups and other groups with an asset entity and an operating entity under some degree of common ownership (except where those entities are both members of a tax consolidated group). If there are no </w:t>
      </w:r>
      <w:r w:rsidR="001B07E5">
        <w:t xml:space="preserve">entities </w:t>
      </w:r>
      <w:r>
        <w:t>in the Transaction with such arrangements,</w:t>
      </w:r>
      <w:r w:rsidR="003F6358">
        <w:t xml:space="preserve"> you </w:t>
      </w:r>
      <w:r w:rsidR="003F6358" w:rsidRPr="001B07E5">
        <w:rPr>
          <w:u w:val="single"/>
        </w:rPr>
        <w:t>do not need</w:t>
      </w:r>
      <w:r w:rsidR="003F6358">
        <w:t xml:space="preserve"> to complete this section </w:t>
      </w:r>
      <w:r w:rsidR="00D03AC7">
        <w:t xml:space="preserve">when </w:t>
      </w:r>
      <w:r w:rsidR="003F6358">
        <w:t>submitting your application.</w:t>
      </w:r>
    </w:p>
    <w:p w14:paraId="384A694D" w14:textId="77777777" w:rsidR="004A513B" w:rsidRDefault="004A513B" w:rsidP="002E3D3D">
      <w:pPr>
        <w:pStyle w:val="ListParagraph"/>
        <w:numPr>
          <w:ilvl w:val="0"/>
          <w:numId w:val="14"/>
        </w:numPr>
      </w:pPr>
      <w:r>
        <w:t>To the extent there are dealings (e.g. cross-staple lease, cross-staple loan) between the operating entity and the asset entity, answer the following questions:</w:t>
      </w:r>
    </w:p>
    <w:p w14:paraId="03DBF7C4" w14:textId="77777777" w:rsidR="004A513B" w:rsidRDefault="004A513B" w:rsidP="006C43CE">
      <w:pPr>
        <w:pStyle w:val="ListParagraph"/>
        <w:numPr>
          <w:ilvl w:val="1"/>
          <w:numId w:val="24"/>
        </w:numPr>
      </w:pPr>
      <w:r>
        <w:t xml:space="preserve">Identify and describe the key features of those dealings, including: </w:t>
      </w:r>
    </w:p>
    <w:p w14:paraId="574D46C2" w14:textId="77777777" w:rsidR="004A513B" w:rsidRDefault="004A513B" w:rsidP="006C43CE">
      <w:pPr>
        <w:pStyle w:val="ListParagraph"/>
        <w:numPr>
          <w:ilvl w:val="2"/>
          <w:numId w:val="24"/>
        </w:numPr>
      </w:pPr>
      <w:r>
        <w:t xml:space="preserve">nature of the dealing, </w:t>
      </w:r>
    </w:p>
    <w:p w14:paraId="751F28ED" w14:textId="77777777" w:rsidR="004A513B" w:rsidRDefault="004A513B" w:rsidP="006C43CE">
      <w:pPr>
        <w:pStyle w:val="ListParagraph"/>
        <w:numPr>
          <w:ilvl w:val="2"/>
          <w:numId w:val="24"/>
        </w:numPr>
      </w:pPr>
      <w:r>
        <w:t xml:space="preserve">how the dealing came about, </w:t>
      </w:r>
    </w:p>
    <w:p w14:paraId="512CDECD" w14:textId="77777777" w:rsidR="004A513B" w:rsidRDefault="004A513B" w:rsidP="006C43CE">
      <w:pPr>
        <w:pStyle w:val="ListParagraph"/>
        <w:numPr>
          <w:ilvl w:val="2"/>
          <w:numId w:val="24"/>
        </w:numPr>
      </w:pPr>
      <w:r>
        <w:t xml:space="preserve">why the dealing is necessary, </w:t>
      </w:r>
    </w:p>
    <w:p w14:paraId="693FD699" w14:textId="77777777" w:rsidR="004A513B" w:rsidRDefault="004A513B" w:rsidP="006C43CE">
      <w:pPr>
        <w:pStyle w:val="ListParagraph"/>
        <w:numPr>
          <w:ilvl w:val="2"/>
          <w:numId w:val="24"/>
        </w:numPr>
      </w:pPr>
      <w:r>
        <w:t>if the dealing is already in existence and the date at which it was entered,</w:t>
      </w:r>
    </w:p>
    <w:p w14:paraId="696A3CBE" w14:textId="77777777" w:rsidR="004A513B" w:rsidRDefault="004A513B" w:rsidP="006C43CE">
      <w:pPr>
        <w:pStyle w:val="ListParagraph"/>
        <w:numPr>
          <w:ilvl w:val="2"/>
          <w:numId w:val="24"/>
        </w:numPr>
      </w:pPr>
      <w:r>
        <w:t xml:space="preserve">arm’s length pricing mechanism used/to be used, and </w:t>
      </w:r>
    </w:p>
    <w:p w14:paraId="1DA3B21D" w14:textId="77777777" w:rsidR="004A513B" w:rsidRDefault="004A513B" w:rsidP="006C43CE">
      <w:pPr>
        <w:pStyle w:val="ListParagraph"/>
        <w:numPr>
          <w:ilvl w:val="2"/>
          <w:numId w:val="24"/>
        </w:numPr>
      </w:pPr>
      <w:r>
        <w:t xml:space="preserve">forecast of income/pricing of the dealing (both quantum and methodology). </w:t>
      </w:r>
    </w:p>
    <w:p w14:paraId="742ADE8B" w14:textId="77777777" w:rsidR="004A513B" w:rsidRDefault="004A513B" w:rsidP="006C43CE">
      <w:pPr>
        <w:pStyle w:val="ListParagraph"/>
        <w:numPr>
          <w:ilvl w:val="1"/>
          <w:numId w:val="24"/>
        </w:numPr>
      </w:pPr>
      <w:r>
        <w:t xml:space="preserve">If there is a cross-staple loan between the asset holding side and the operating side of the stapled structure, advise whether the cross-staple loan is entered into or proposed to be entered into on back-to-back terms with the group’s external loan arrangement(s). Otherwise explain how the terms of the cross-staple loan are determined and priced to be arm’s length. </w:t>
      </w:r>
    </w:p>
    <w:p w14:paraId="79535AEF" w14:textId="30C03BC1" w:rsidR="004A513B" w:rsidRDefault="004A513B" w:rsidP="006C43CE">
      <w:pPr>
        <w:pStyle w:val="ListParagraph"/>
        <w:numPr>
          <w:ilvl w:val="1"/>
          <w:numId w:val="24"/>
        </w:numPr>
      </w:pPr>
      <w:r>
        <w:t>Having regard</w:t>
      </w:r>
      <w:r w:rsidRPr="000D172A">
        <w:t xml:space="preserve"> to</w:t>
      </w:r>
      <w:r w:rsidR="008A6D9D">
        <w:rPr>
          <w:i/>
          <w:iCs/>
        </w:rPr>
        <w:t xml:space="preserve"> </w:t>
      </w:r>
      <w:r w:rsidRPr="000D172A">
        <w:rPr>
          <w:i/>
          <w:iCs/>
        </w:rPr>
        <w:t>TA 2017/1</w:t>
      </w:r>
      <w:r w:rsidR="009978CC">
        <w:rPr>
          <w:i/>
          <w:iCs/>
        </w:rPr>
        <w:t>:</w:t>
      </w:r>
      <w:r w:rsidRPr="000D172A">
        <w:rPr>
          <w:i/>
          <w:iCs/>
        </w:rPr>
        <w:t xml:space="preserve"> Re-characterisation of income from trading businesses</w:t>
      </w:r>
      <w:r>
        <w:t>, advise:</w:t>
      </w:r>
    </w:p>
    <w:p w14:paraId="05D5A6B1" w14:textId="7106E65C" w:rsidR="004A513B" w:rsidRDefault="004A513B" w:rsidP="006C43CE">
      <w:pPr>
        <w:pStyle w:val="ListParagraph"/>
        <w:numPr>
          <w:ilvl w:val="2"/>
          <w:numId w:val="24"/>
        </w:numPr>
      </w:pPr>
      <w:r>
        <w:t xml:space="preserve">if any of the dealings may </w:t>
      </w:r>
      <w:proofErr w:type="gramStart"/>
      <w:r>
        <w:t>be in the nature of, or</w:t>
      </w:r>
      <w:proofErr w:type="gramEnd"/>
      <w:r>
        <w:t xml:space="preserve"> similar to, any of the examples described in that TA, an</w:t>
      </w:r>
      <w:r w:rsidR="009978CC">
        <w:t>d</w:t>
      </w:r>
    </w:p>
    <w:p w14:paraId="735FDD2B" w14:textId="77777777" w:rsidR="004A513B" w:rsidRDefault="004A513B" w:rsidP="006C43CE">
      <w:pPr>
        <w:pStyle w:val="ListParagraph"/>
        <w:numPr>
          <w:ilvl w:val="2"/>
          <w:numId w:val="24"/>
        </w:numPr>
      </w:pPr>
      <w:r>
        <w:t xml:space="preserve">your reasons for the above assessment. </w:t>
      </w:r>
    </w:p>
    <w:p w14:paraId="54CCDF35" w14:textId="73DCE7CE" w:rsidR="00180060" w:rsidRDefault="004A513B" w:rsidP="006C43CE">
      <w:pPr>
        <w:pStyle w:val="ListParagraph"/>
        <w:numPr>
          <w:ilvl w:val="1"/>
          <w:numId w:val="24"/>
        </w:numPr>
      </w:pPr>
      <w:r>
        <w:t>Advise whether any entities in the holding structure will be in receipt of non</w:t>
      </w:r>
      <w:r w:rsidR="00896CBE">
        <w:t>-</w:t>
      </w:r>
      <w:r>
        <w:t xml:space="preserve">concessional MIT income, as defined in section 12-435 of Schedule 1 to the </w:t>
      </w:r>
      <w:r w:rsidRPr="004A513B">
        <w:rPr>
          <w:i/>
          <w:iCs/>
        </w:rPr>
        <w:t>Taxation Administration Act 1953</w:t>
      </w:r>
      <w:r>
        <w:t xml:space="preserve"> (</w:t>
      </w:r>
      <w:proofErr w:type="spellStart"/>
      <w:r>
        <w:t>Cth</w:t>
      </w:r>
      <w:proofErr w:type="spellEnd"/>
      <w:r>
        <w:t>) (</w:t>
      </w:r>
      <w:r w:rsidRPr="004A513B">
        <w:rPr>
          <w:b/>
          <w:bCs/>
        </w:rPr>
        <w:t>TAA 1953</w:t>
      </w:r>
      <w:r>
        <w:t xml:space="preserve">). Irrespective of the answer, provide an explanation with reference to the relevant section of Schedule 1 to the TAA 1953. For further </w:t>
      </w:r>
      <w:r w:rsidR="001E3053">
        <w:t>assistance,</w:t>
      </w:r>
      <w:r>
        <w:t xml:space="preserve"> refer to Law Companion Ruling </w:t>
      </w:r>
      <w:r w:rsidR="001E3053">
        <w:t>(</w:t>
      </w:r>
      <w:r w:rsidRPr="001E3053">
        <w:rPr>
          <w:b/>
          <w:bCs/>
        </w:rPr>
        <w:t>LCR</w:t>
      </w:r>
      <w:r w:rsidR="001E3053">
        <w:t>)</w:t>
      </w:r>
      <w:r>
        <w:t xml:space="preserve"> 2020/2 Non-concessional MIT income.</w:t>
      </w:r>
    </w:p>
    <w:p w14:paraId="02ACA35F" w14:textId="56BE8BA5" w:rsidR="00D03435" w:rsidRDefault="00256825" w:rsidP="006C43CE">
      <w:pPr>
        <w:pStyle w:val="Heading3"/>
        <w:tabs>
          <w:tab w:val="left" w:pos="4560"/>
        </w:tabs>
        <w:spacing w:line="240" w:lineRule="auto"/>
      </w:pPr>
      <w:r>
        <w:lastRenderedPageBreak/>
        <w:t xml:space="preserve">[If applicable] </w:t>
      </w:r>
      <w:r w:rsidR="00D03435" w:rsidRPr="007C6358">
        <w:t>Hybrid mismatches</w:t>
      </w:r>
    </w:p>
    <w:p w14:paraId="34041C33" w14:textId="083CF5E5" w:rsidR="00D03435" w:rsidRDefault="00D03435" w:rsidP="006C43CE">
      <w:r>
        <w:t>This section applies to entities with hybrid mismatches. If there are no entit</w:t>
      </w:r>
      <w:r w:rsidR="002C479D">
        <w:t xml:space="preserve">ies </w:t>
      </w:r>
      <w:r>
        <w:t>which have hybrid mismatches,</w:t>
      </w:r>
      <w:r w:rsidR="00D03AC7">
        <w:t xml:space="preserve"> </w:t>
      </w:r>
      <w:r w:rsidR="003F6358">
        <w:t xml:space="preserve">you </w:t>
      </w:r>
      <w:r w:rsidR="003F6358" w:rsidRPr="001B07E5">
        <w:rPr>
          <w:u w:val="single"/>
        </w:rPr>
        <w:t>do not need</w:t>
      </w:r>
      <w:r w:rsidR="003F6358">
        <w:t xml:space="preserve"> to complete this section </w:t>
      </w:r>
      <w:r w:rsidR="00D03AC7">
        <w:t xml:space="preserve">when </w:t>
      </w:r>
      <w:r w:rsidR="003F6358">
        <w:t>submitting your application.</w:t>
      </w:r>
    </w:p>
    <w:p w14:paraId="1CBA9C36" w14:textId="7E43F094" w:rsidR="00D03435" w:rsidRDefault="00D03435" w:rsidP="002E3D3D">
      <w:pPr>
        <w:pStyle w:val="Bullet"/>
        <w:numPr>
          <w:ilvl w:val="0"/>
          <w:numId w:val="14"/>
        </w:numPr>
        <w:spacing w:line="240" w:lineRule="auto"/>
      </w:pPr>
      <w:r>
        <w:t>Confirm if any Australian entities of the acquiring group are (or will be post</w:t>
      </w:r>
      <w:r w:rsidR="00593FAB">
        <w:t>-T</w:t>
      </w:r>
      <w:r>
        <w:t xml:space="preserve">ransaction) parties to a hybrid arrangement giving rise to a hybrid mismatch under Division 832 of the ITAA 1997 (including the imported mismatch rule). </w:t>
      </w:r>
    </w:p>
    <w:p w14:paraId="3E077944" w14:textId="4E9EE54B" w:rsidR="00D03435" w:rsidRDefault="00D03435" w:rsidP="00B103CD">
      <w:pPr>
        <w:pStyle w:val="Bullet"/>
        <w:numPr>
          <w:ilvl w:val="1"/>
          <w:numId w:val="14"/>
        </w:numPr>
        <w:spacing w:line="240" w:lineRule="auto"/>
      </w:pPr>
      <w:r>
        <w:t xml:space="preserve">Where you have identified a hybrid mismatch arrangement, provide details of the nature of the arrangement and outline how Division 832 of the ITAA 1997 has been applied. </w:t>
      </w:r>
    </w:p>
    <w:p w14:paraId="3FC401A4" w14:textId="42465B37" w:rsidR="00D03435" w:rsidRDefault="00D03435" w:rsidP="00B103CD">
      <w:pPr>
        <w:pStyle w:val="Bullet"/>
        <w:numPr>
          <w:ilvl w:val="1"/>
          <w:numId w:val="14"/>
        </w:numPr>
        <w:spacing w:line="240" w:lineRule="auto"/>
      </w:pPr>
      <w:r>
        <w:t xml:space="preserve">If a hybrid mismatch exists but the rules have not denied a deduction or included an amount of income, </w:t>
      </w:r>
      <w:r w:rsidR="00415880">
        <w:t xml:space="preserve">then you must </w:t>
      </w:r>
      <w:r>
        <w:t xml:space="preserve">provide </w:t>
      </w:r>
      <w:r w:rsidR="00415880">
        <w:t xml:space="preserve">the </w:t>
      </w:r>
      <w:r>
        <w:t xml:space="preserve">reasoning for this. </w:t>
      </w:r>
    </w:p>
    <w:p w14:paraId="04B3B896" w14:textId="6E3B41CB" w:rsidR="00D03435" w:rsidRPr="00BB3DEA" w:rsidRDefault="00D03435" w:rsidP="002E3D3D">
      <w:pPr>
        <w:pStyle w:val="Bullet"/>
        <w:numPr>
          <w:ilvl w:val="0"/>
          <w:numId w:val="14"/>
        </w:numPr>
        <w:spacing w:line="240" w:lineRule="auto"/>
      </w:pPr>
      <w:r>
        <w:t>For US-headquartered groups, provide details of the classification of the relevant US</w:t>
      </w:r>
      <w:r w:rsidR="00415880">
        <w:t xml:space="preserve"> </w:t>
      </w:r>
      <w:r>
        <w:t xml:space="preserve">and non-US tax resident entities under the US check-the-box regulations. Alternatively, </w:t>
      </w:r>
      <w:r w:rsidR="00415880">
        <w:t xml:space="preserve">you may </w:t>
      </w:r>
      <w:r>
        <w:t>provide an organisational entity chart with applicable US check</w:t>
      </w:r>
      <w:r w:rsidR="009978CC">
        <w:t>-</w:t>
      </w:r>
      <w:r>
        <w:t>the</w:t>
      </w:r>
      <w:r w:rsidR="009978CC">
        <w:t>-</w:t>
      </w:r>
      <w:r>
        <w:t>box elections depicted</w:t>
      </w:r>
      <w:r w:rsidR="00415880">
        <w:t xml:space="preserve"> for each entity. </w:t>
      </w:r>
    </w:p>
    <w:sectPr w:rsidR="00D03435" w:rsidRPr="00BB3DEA" w:rsidSect="005348D1">
      <w:headerReference w:type="even" r:id="rId7"/>
      <w:footerReference w:type="even" r:id="rId8"/>
      <w:footerReference w:type="default" r:id="rId9"/>
      <w:headerReference w:type="first" r:id="rId10"/>
      <w:footerReference w:type="first" r:id="rId11"/>
      <w:pgSz w:w="11906" w:h="16838" w:code="9"/>
      <w:pgMar w:top="1702" w:right="1701" w:bottom="1021" w:left="1701" w:header="567" w:footer="2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2A53C" w14:textId="77777777" w:rsidR="00C04BB8" w:rsidRDefault="00C04BB8" w:rsidP="00886BC4">
      <w:r>
        <w:separator/>
      </w:r>
    </w:p>
    <w:p w14:paraId="2E29BEAC" w14:textId="77777777" w:rsidR="00C04BB8" w:rsidRDefault="00C04BB8"/>
  </w:endnote>
  <w:endnote w:type="continuationSeparator" w:id="0">
    <w:p w14:paraId="03CB6866" w14:textId="77777777" w:rsidR="00C04BB8" w:rsidRDefault="00C04BB8" w:rsidP="00886BC4">
      <w:r>
        <w:continuationSeparator/>
      </w:r>
    </w:p>
    <w:p w14:paraId="2D70D3D1" w14:textId="77777777" w:rsidR="00C04BB8" w:rsidRDefault="00C04BB8"/>
  </w:endnote>
  <w:endnote w:type="continuationNotice" w:id="1">
    <w:p w14:paraId="6E0BA559" w14:textId="77777777" w:rsidR="00C04BB8" w:rsidRDefault="00C04B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9999999">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 45 Light">
    <w:altName w:val="Calibri"/>
    <w:charset w:val="00"/>
    <w:family w:val="roman"/>
    <w:pitch w:val="variable"/>
  </w:font>
  <w:font w:name="Batang">
    <w:altName w:val="바탕"/>
    <w:panose1 w:val="02030600000101010101"/>
    <w:charset w:val="81"/>
    <w:family w:val="auto"/>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133E4" w14:textId="14833789" w:rsidR="008E7297" w:rsidRDefault="001A26B6">
    <w:pPr>
      <w:pStyle w:val="Footer"/>
    </w:pPr>
    <w:r>
      <w:rPr>
        <w:noProof/>
      </w:rPr>
      <mc:AlternateContent>
        <mc:Choice Requires="wps">
          <w:drawing>
            <wp:anchor distT="0" distB="0" distL="0" distR="0" simplePos="0" relativeHeight="251658242" behindDoc="0" locked="0" layoutInCell="1" allowOverlap="1" wp14:anchorId="08F64F5A" wp14:editId="396E1CE8">
              <wp:simplePos x="635" y="635"/>
              <wp:positionH relativeFrom="page">
                <wp:align>center</wp:align>
              </wp:positionH>
              <wp:positionV relativeFrom="page">
                <wp:align>bottom</wp:align>
              </wp:positionV>
              <wp:extent cx="1236345" cy="421005"/>
              <wp:effectExtent l="0" t="0" r="1905" b="0"/>
              <wp:wrapNone/>
              <wp:docPr id="1724146889" name="Text Box 5"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36345" cy="421005"/>
                      </a:xfrm>
                      <a:prstGeom prst="rect">
                        <a:avLst/>
                      </a:prstGeom>
                      <a:noFill/>
                      <a:ln>
                        <a:noFill/>
                      </a:ln>
                    </wps:spPr>
                    <wps:txbx>
                      <w:txbxContent>
                        <w:p w14:paraId="275738B6" w14:textId="52996CA8" w:rsidR="001A26B6" w:rsidRPr="001A26B6" w:rsidRDefault="007F0BD7" w:rsidP="001A26B6">
                          <w:pPr>
                            <w:spacing w:after="0"/>
                            <w:rPr>
                              <w:rFonts w:ascii="Verdana" w:eastAsia="Verdana" w:hAnsi="Verdana" w:cs="Verdana"/>
                              <w:noProof/>
                              <w:color w:val="B40029"/>
                              <w:sz w:val="20"/>
                            </w:rPr>
                          </w:pPr>
                          <w:r>
                            <w:rPr>
                              <w:rFonts w:ascii="Verdana" w:eastAsia="Verdana" w:hAnsi="Verdana" w:cs="Verdana"/>
                              <w:noProof/>
                              <w:color w:val="B40029"/>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F64F5A" id="_x0000_t202" coordsize="21600,21600" o:spt="202" path="m,l,21600r21600,l21600,xe">
              <v:stroke joinstyle="miter"/>
              <v:path gradientshapeok="t" o:connecttype="rect"/>
            </v:shapetype>
            <v:shape id="Text Box 5" o:spid="_x0000_s1027" type="#_x0000_t202" alt="OFFICIAL:Sensitive" style="position:absolute;margin-left:0;margin-top:0;width:97.35pt;height:33.1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" filled="f" stroked="f">
              <v:textbox style="mso-fit-shape-to-text:t" inset="0,0,0,15pt">
                <w:txbxContent>
                  <w:p w14:paraId="275738B6" w14:textId="52996CA8" w:rsidR="001A26B6" w:rsidRPr="001A26B6" w:rsidRDefault="007F0BD7" w:rsidP="001A26B6">
                    <w:pPr>
                      <w:spacing w:after="0"/>
                      <w:rPr>
                        <w:rFonts w:ascii="Verdana" w:eastAsia="Verdana" w:hAnsi="Verdana" w:cs="Verdana"/>
                        <w:noProof/>
                        <w:color w:val="B40029"/>
                        <w:sz w:val="20"/>
                      </w:rPr>
                    </w:pPr>
                    <w:r>
                      <w:rPr>
                        <w:rFonts w:ascii="Verdana" w:eastAsia="Verdana" w:hAnsi="Verdana" w:cs="Verdana"/>
                        <w:noProof/>
                        <w:color w:val="B40029"/>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5353" w14:textId="025FAAA2" w:rsidR="00A15DB7" w:rsidRPr="00E81A92" w:rsidRDefault="005348D1" w:rsidP="005348D1">
    <w:pPr>
      <w:pStyle w:val="Footer"/>
    </w:pPr>
    <w:r w:rsidRPr="00AC3B66">
      <w:rPr>
        <w:noProof/>
        <w:position w:val="-10"/>
      </w:rPr>
      <w:drawing>
        <wp:inline distT="0" distB="0" distL="0" distR="0" wp14:anchorId="35D0F338" wp14:editId="1C93EA87">
          <wp:extent cx="2152800" cy="176400"/>
          <wp:effectExtent l="0" t="0" r="0" b="0"/>
          <wp:docPr id="925529323" name="Picture 9255293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52800" cy="176400"/>
                  </a:xfrm>
                  <a:prstGeom prst="rect">
                    <a:avLst/>
                  </a:prstGeom>
                </pic:spPr>
              </pic:pic>
            </a:graphicData>
          </a:graphic>
        </wp:inline>
      </w:drawing>
    </w:r>
    <w:r w:rsidR="00E81A92">
      <w:tab/>
    </w:r>
    <w:r>
      <w:tab/>
    </w:r>
    <w:r w:rsidR="001B50F3" w:rsidRPr="00185FF8">
      <w:t>Version 4 (</w:t>
    </w:r>
    <w:r w:rsidR="00EC3A52">
      <w:t>25 June 2026</w:t>
    </w:r>
    <w:r w:rsidR="001B50F3" w:rsidRPr="00185FF8">
      <w:t>)</w:t>
    </w:r>
    <w:r w:rsidR="00E81A92">
      <w:t xml:space="preserve"> | </w:t>
    </w:r>
    <w:r w:rsidR="00E81A92" w:rsidRPr="00565A52">
      <w:t xml:space="preserve"> </w:t>
    </w:r>
    <w:r w:rsidR="00E81A92" w:rsidRPr="00565A52">
      <w:fldChar w:fldCharType="begin"/>
    </w:r>
    <w:r w:rsidR="00E81A92" w:rsidRPr="00565A52">
      <w:instrText xml:space="preserve"> PAGE   \* MERGEFORMAT </w:instrText>
    </w:r>
    <w:r w:rsidR="00E81A92" w:rsidRPr="00565A52">
      <w:fldChar w:fldCharType="separate"/>
    </w:r>
    <w:r w:rsidR="00E81A92">
      <w:t>1</w:t>
    </w:r>
    <w:r w:rsidR="00E81A92" w:rsidRPr="00565A5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A4DD5" w14:textId="493DA966" w:rsidR="00300C95" w:rsidRPr="00E81A92" w:rsidRDefault="00615B89" w:rsidP="00615B89">
    <w:pPr>
      <w:pStyle w:val="Footer"/>
    </w:pPr>
    <w:r w:rsidRPr="00AC3B66">
      <w:rPr>
        <w:noProof/>
        <w:position w:val="-10"/>
      </w:rPr>
      <w:drawing>
        <wp:inline distT="0" distB="0" distL="0" distR="0" wp14:anchorId="69838F8F" wp14:editId="594421D0">
          <wp:extent cx="2152650" cy="175895"/>
          <wp:effectExtent l="0" t="0" r="0" b="0"/>
          <wp:docPr id="330445022" name="Picture 3304450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52650" cy="175895"/>
                  </a:xfrm>
                  <a:prstGeom prst="rect">
                    <a:avLst/>
                  </a:prstGeom>
                </pic:spPr>
              </pic:pic>
            </a:graphicData>
          </a:graphic>
        </wp:inline>
      </w:drawing>
    </w:r>
    <w:r w:rsidR="00E81A92">
      <w:tab/>
    </w:r>
    <w:r>
      <w:tab/>
    </w:r>
    <w:r w:rsidR="0023595D" w:rsidRPr="00185FF8">
      <w:t>Version 4 (</w:t>
    </w:r>
    <w:r w:rsidR="00EC3A52">
      <w:t>25 June 2026</w:t>
    </w:r>
    <w:r w:rsidR="0023595D" w:rsidRPr="00185FF8">
      <w:t>)</w:t>
    </w:r>
    <w:r w:rsidR="00E81A92" w:rsidRPr="00185FF8">
      <w:t xml:space="preserve"> |  </w:t>
    </w:r>
    <w:r w:rsidR="00E81A92" w:rsidRPr="00185FF8">
      <w:fldChar w:fldCharType="begin"/>
    </w:r>
    <w:r w:rsidR="00E81A92" w:rsidRPr="00185FF8">
      <w:instrText xml:space="preserve"> PAGE   \* MERGEFORMAT </w:instrText>
    </w:r>
    <w:r w:rsidR="00E81A92" w:rsidRPr="00185FF8">
      <w:fldChar w:fldCharType="separate"/>
    </w:r>
    <w:r w:rsidR="00E81A92" w:rsidRPr="00185FF8">
      <w:t>1</w:t>
    </w:r>
    <w:r w:rsidR="00E81A92" w:rsidRPr="00185FF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BD4DC" w14:textId="77777777" w:rsidR="00C04BB8" w:rsidRDefault="00C04BB8" w:rsidP="00886BC4">
      <w:r>
        <w:separator/>
      </w:r>
    </w:p>
    <w:p w14:paraId="30F1AC07" w14:textId="77777777" w:rsidR="00C04BB8" w:rsidRDefault="00C04BB8"/>
  </w:footnote>
  <w:footnote w:type="continuationSeparator" w:id="0">
    <w:p w14:paraId="2ACEF4E2" w14:textId="77777777" w:rsidR="00C04BB8" w:rsidRDefault="00C04BB8" w:rsidP="00886BC4">
      <w:r>
        <w:continuationSeparator/>
      </w:r>
    </w:p>
    <w:p w14:paraId="60953F77" w14:textId="77777777" w:rsidR="00C04BB8" w:rsidRDefault="00C04BB8"/>
  </w:footnote>
  <w:footnote w:type="continuationNotice" w:id="1">
    <w:p w14:paraId="0D447BA6" w14:textId="77777777" w:rsidR="00C04BB8" w:rsidRDefault="00C04B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FA3B9" w14:textId="775FBEC5" w:rsidR="008E7297" w:rsidRDefault="001A26B6">
    <w:pPr>
      <w:pStyle w:val="Header"/>
    </w:pPr>
    <w:r>
      <w:rPr>
        <w:noProof/>
      </w:rPr>
      <mc:AlternateContent>
        <mc:Choice Requires="wps">
          <w:drawing>
            <wp:anchor distT="0" distB="0" distL="0" distR="0" simplePos="0" relativeHeight="251658241" behindDoc="0" locked="0" layoutInCell="1" allowOverlap="1" wp14:anchorId="2F268DA5" wp14:editId="3FC50436">
              <wp:simplePos x="635" y="635"/>
              <wp:positionH relativeFrom="page">
                <wp:align>center</wp:align>
              </wp:positionH>
              <wp:positionV relativeFrom="page">
                <wp:align>top</wp:align>
              </wp:positionV>
              <wp:extent cx="1236345" cy="421005"/>
              <wp:effectExtent l="0" t="0" r="1905" b="17145"/>
              <wp:wrapNone/>
              <wp:docPr id="661792276" name="Text Box 2"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36345" cy="421005"/>
                      </a:xfrm>
                      <a:prstGeom prst="rect">
                        <a:avLst/>
                      </a:prstGeom>
                      <a:noFill/>
                      <a:ln>
                        <a:noFill/>
                      </a:ln>
                    </wps:spPr>
                    <wps:txbx>
                      <w:txbxContent>
                        <w:p w14:paraId="362412D1" w14:textId="3109383B" w:rsidR="001A26B6" w:rsidRPr="001A26B6" w:rsidRDefault="007F0BD7" w:rsidP="001A26B6">
                          <w:pPr>
                            <w:spacing w:after="0"/>
                            <w:rPr>
                              <w:rFonts w:ascii="Verdana" w:eastAsia="Verdana" w:hAnsi="Verdana" w:cs="Verdana"/>
                              <w:noProof/>
                              <w:color w:val="B40029"/>
                              <w:sz w:val="20"/>
                            </w:rPr>
                          </w:pPr>
                          <w:r>
                            <w:rPr>
                              <w:rFonts w:ascii="Verdana" w:eastAsia="Verdana" w:hAnsi="Verdana" w:cs="Verdana"/>
                              <w:noProof/>
                              <w:color w:val="B40029"/>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268DA5" id="_x0000_t202" coordsize="21600,21600" o:spt="202" path="m,l,21600r21600,l21600,xe">
              <v:stroke joinstyle="miter"/>
              <v:path gradientshapeok="t" o:connecttype="rect"/>
            </v:shapetype>
            <v:shape id="Text Box 2" o:spid="_x0000_s1026" type="#_x0000_t202" alt="OFFICIAL:Sensitive" style="position:absolute;margin-left:0;margin-top:0;width:97.35pt;height:33.1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" filled="f" stroked="f">
              <v:textbox style="mso-fit-shape-to-text:t" inset="0,15pt,0,0">
                <w:txbxContent>
                  <w:p w14:paraId="362412D1" w14:textId="3109383B" w:rsidR="001A26B6" w:rsidRPr="001A26B6" w:rsidRDefault="007F0BD7" w:rsidP="001A26B6">
                    <w:pPr>
                      <w:spacing w:after="0"/>
                      <w:rPr>
                        <w:rFonts w:ascii="Verdana" w:eastAsia="Verdana" w:hAnsi="Verdana" w:cs="Verdana"/>
                        <w:noProof/>
                        <w:color w:val="B40029"/>
                        <w:sz w:val="20"/>
                      </w:rPr>
                    </w:pPr>
                    <w:r>
                      <w:rPr>
                        <w:rFonts w:ascii="Verdana" w:eastAsia="Verdana" w:hAnsi="Verdana" w:cs="Verdana"/>
                        <w:noProof/>
                        <w:color w:val="B40029"/>
                        <w:sz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FFDD9" w14:textId="68F7761C" w:rsidR="00300C95" w:rsidRDefault="00300C95" w:rsidP="007F0BD7">
    <w:pPr>
      <w:pStyle w:val="Header"/>
      <w:tabs>
        <w:tab w:val="clear" w:pos="4320"/>
        <w:tab w:val="clear" w:pos="8640"/>
        <w:tab w:val="left" w:pos="7524"/>
      </w:tabs>
    </w:pPr>
    <w:r>
      <w:rPr>
        <w:noProof/>
      </w:rPr>
      <w:drawing>
        <wp:anchor distT="0" distB="0" distL="114300" distR="114300" simplePos="0" relativeHeight="251658240" behindDoc="1" locked="0" layoutInCell="1" allowOverlap="0" wp14:anchorId="3B760890" wp14:editId="7F324BE0">
          <wp:simplePos x="0" y="0"/>
          <wp:positionH relativeFrom="margin">
            <wp:align>center</wp:align>
          </wp:positionH>
          <wp:positionV relativeFrom="page">
            <wp:align>top</wp:align>
          </wp:positionV>
          <wp:extent cx="7599600" cy="1519200"/>
          <wp:effectExtent l="0" t="0" r="1905" b="5080"/>
          <wp:wrapNone/>
          <wp:docPr id="203" name="Picture 2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Picture 20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9600" cy="1519200"/>
                  </a:xfrm>
                  <a:prstGeom prst="rect">
                    <a:avLst/>
                  </a:prstGeom>
                </pic:spPr>
              </pic:pic>
            </a:graphicData>
          </a:graphic>
          <wp14:sizeRelH relativeFrom="margin">
            <wp14:pctWidth>0</wp14:pctWidth>
          </wp14:sizeRelH>
          <wp14:sizeRelV relativeFrom="margin">
            <wp14:pctHeight>0</wp14:pctHeight>
          </wp14:sizeRelV>
        </wp:anchor>
      </w:drawing>
    </w:r>
    <w:r w:rsidR="007F0BD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4E0E034E"/>
    <w:lvl w:ilvl="0">
      <w:start w:val="1"/>
      <w:numFmt w:val="decimal"/>
      <w:pStyle w:val="ListNumber2"/>
      <w:lvlText w:val="%1."/>
      <w:lvlJc w:val="left"/>
      <w:pPr>
        <w:tabs>
          <w:tab w:val="num" w:pos="643"/>
        </w:tabs>
        <w:ind w:left="643" w:hanging="360"/>
      </w:pPr>
    </w:lvl>
  </w:abstractNum>
  <w:abstractNum w:abstractNumId="1" w15:restartNumberingAfterBreak="0">
    <w:nsid w:val="FFFFFF83"/>
    <w:multiLevelType w:val="singleLevel"/>
    <w:tmpl w:val="5B1A8F9A"/>
    <w:lvl w:ilvl="0">
      <w:start w:val="1"/>
      <w:numFmt w:val="bullet"/>
      <w:lvlText w:val="-"/>
      <w:lvlJc w:val="left"/>
      <w:pPr>
        <w:tabs>
          <w:tab w:val="num" w:pos="623"/>
        </w:tabs>
        <w:ind w:left="623" w:hanging="340"/>
      </w:pPr>
      <w:rPr>
        <w:rFonts w:ascii="9999999" w:hAnsi="9999999" w:cs="Courier New" w:hint="default"/>
      </w:rPr>
    </w:lvl>
  </w:abstractNum>
  <w:abstractNum w:abstractNumId="2" w15:restartNumberingAfterBreak="0">
    <w:nsid w:val="FFFFFF88"/>
    <w:multiLevelType w:val="singleLevel"/>
    <w:tmpl w:val="6B0ADDEA"/>
    <w:lvl w:ilvl="0">
      <w:start w:val="1"/>
      <w:numFmt w:val="decimal"/>
      <w:pStyle w:val="ListNumber"/>
      <w:lvlText w:val="%1."/>
      <w:lvlJc w:val="left"/>
      <w:pPr>
        <w:tabs>
          <w:tab w:val="num" w:pos="360"/>
        </w:tabs>
        <w:ind w:left="360" w:hanging="360"/>
      </w:pPr>
    </w:lvl>
  </w:abstractNum>
  <w:abstractNum w:abstractNumId="3"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4" w15:restartNumberingAfterBreak="0">
    <w:nsid w:val="07F9098A"/>
    <w:multiLevelType w:val="hybridMultilevel"/>
    <w:tmpl w:val="0E6825E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AA918C5"/>
    <w:multiLevelType w:val="hybridMultilevel"/>
    <w:tmpl w:val="0E6825E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BE73F5E"/>
    <w:multiLevelType w:val="hybridMultilevel"/>
    <w:tmpl w:val="58C2662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E0C0FEA"/>
    <w:multiLevelType w:val="multilevel"/>
    <w:tmpl w:val="143A4AF6"/>
    <w:styleLink w:val="StyleBulletedSymbolsymbol11ptLeft4cmHanging05"/>
    <w:lvl w:ilvl="0">
      <w:start w:val="1"/>
      <w:numFmt w:val="bullet"/>
      <w:lvlText w:val=""/>
      <w:lvlJc w:val="left"/>
      <w:pPr>
        <w:tabs>
          <w:tab w:val="num" w:pos="340"/>
        </w:tabs>
        <w:ind w:left="340" w:hanging="340"/>
      </w:pPr>
      <w:rPr>
        <w:rFonts w:ascii="Calibri" w:hAnsi="Calibri"/>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26C654C"/>
    <w:multiLevelType w:val="hybridMultilevel"/>
    <w:tmpl w:val="A734DEB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31B142D"/>
    <w:multiLevelType w:val="hybridMultilevel"/>
    <w:tmpl w:val="71F0A89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A736478"/>
    <w:multiLevelType w:val="hybridMultilevel"/>
    <w:tmpl w:val="36CEEE7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AD228C7"/>
    <w:multiLevelType w:val="hybridMultilevel"/>
    <w:tmpl w:val="4052D9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4504C8C"/>
    <w:multiLevelType w:val="hybridMultilevel"/>
    <w:tmpl w:val="C3A087B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24741CCA"/>
    <w:multiLevelType w:val="hybridMultilevel"/>
    <w:tmpl w:val="D26CFEF0"/>
    <w:lvl w:ilvl="0" w:tplc="C1821C9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77B46D1"/>
    <w:multiLevelType w:val="singleLevel"/>
    <w:tmpl w:val="890880B8"/>
    <w:lvl w:ilvl="0">
      <w:start w:val="1"/>
      <w:numFmt w:val="bullet"/>
      <w:lvlText w:val=""/>
      <w:lvlJc w:val="left"/>
      <w:pPr>
        <w:tabs>
          <w:tab w:val="num" w:pos="340"/>
        </w:tabs>
        <w:ind w:left="340" w:hanging="340"/>
      </w:pPr>
      <w:rPr>
        <w:rFonts w:ascii="Symbol" w:hAnsi="Symbol" w:hint="default"/>
        <w:color w:val="auto"/>
        <w:sz w:val="22"/>
      </w:rPr>
    </w:lvl>
  </w:abstractNum>
  <w:abstractNum w:abstractNumId="15" w15:restartNumberingAfterBreak="0">
    <w:nsid w:val="308C2710"/>
    <w:multiLevelType w:val="multilevel"/>
    <w:tmpl w:val="5804FFF0"/>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6" w15:restartNumberingAfterBreak="0">
    <w:nsid w:val="35AA7A47"/>
    <w:multiLevelType w:val="hybridMultilevel"/>
    <w:tmpl w:val="17FEF216"/>
    <w:lvl w:ilvl="0" w:tplc="0C09000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494064B3"/>
    <w:multiLevelType w:val="hybridMultilevel"/>
    <w:tmpl w:val="A29840E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DE35413"/>
    <w:multiLevelType w:val="hybridMultilevel"/>
    <w:tmpl w:val="42366EE6"/>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9" w15:restartNumberingAfterBreak="0">
    <w:nsid w:val="53E82F15"/>
    <w:multiLevelType w:val="hybridMultilevel"/>
    <w:tmpl w:val="1BD41BC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7AD61FE"/>
    <w:multiLevelType w:val="singleLevel"/>
    <w:tmpl w:val="12BC0E22"/>
    <w:lvl w:ilvl="0">
      <w:start w:val="1"/>
      <w:numFmt w:val="bullet"/>
      <w:lvlText w:val=""/>
      <w:lvlJc w:val="left"/>
      <w:pPr>
        <w:tabs>
          <w:tab w:val="num" w:pos="340"/>
        </w:tabs>
        <w:ind w:left="340" w:hanging="340"/>
      </w:pPr>
      <w:rPr>
        <w:rFonts w:ascii="Symbol" w:hAnsi="Symbol" w:hint="default"/>
        <w:color w:val="auto"/>
        <w:sz w:val="22"/>
      </w:rPr>
    </w:lvl>
  </w:abstractNum>
  <w:abstractNum w:abstractNumId="21" w15:restartNumberingAfterBreak="0">
    <w:nsid w:val="5826684C"/>
    <w:multiLevelType w:val="hybridMultilevel"/>
    <w:tmpl w:val="EBD29FA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AB800A8"/>
    <w:multiLevelType w:val="hybridMultilevel"/>
    <w:tmpl w:val="A1EC49D4"/>
    <w:lvl w:ilvl="0" w:tplc="0C09000F">
      <w:start w:val="1"/>
      <w:numFmt w:val="decimal"/>
      <w:lvlText w:val="%1."/>
      <w:lvlJc w:val="left"/>
      <w:pPr>
        <w:ind w:left="720" w:hanging="360"/>
      </w:pPr>
    </w:lvl>
    <w:lvl w:ilvl="1" w:tplc="B28C4B8A">
      <w:start w:val="1"/>
      <w:numFmt w:val="lowerLetter"/>
      <w:lvlText w:val="%2."/>
      <w:lvlJc w:val="left"/>
      <w:pPr>
        <w:ind w:left="1440" w:hanging="360"/>
      </w:pPr>
      <w:rPr>
        <w:i w:val="0"/>
        <w:iCs w:val="0"/>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B8E0DED"/>
    <w:multiLevelType w:val="hybridMultilevel"/>
    <w:tmpl w:val="420E9DAE"/>
    <w:lvl w:ilvl="0" w:tplc="5BCC39DE">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EDA1195"/>
    <w:multiLevelType w:val="hybridMultilevel"/>
    <w:tmpl w:val="432079E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0143A9D"/>
    <w:multiLevelType w:val="hybridMultilevel"/>
    <w:tmpl w:val="CCF8EC6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0FB40A7"/>
    <w:multiLevelType w:val="hybridMultilevel"/>
    <w:tmpl w:val="F3A20F78"/>
    <w:lvl w:ilvl="0" w:tplc="0AE2CF9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B922142"/>
    <w:multiLevelType w:val="hybridMultilevel"/>
    <w:tmpl w:val="063EB5D8"/>
    <w:lvl w:ilvl="0" w:tplc="0C09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725565FC"/>
    <w:multiLevelType w:val="hybridMultilevel"/>
    <w:tmpl w:val="97ECE87C"/>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9" w15:restartNumberingAfterBreak="0">
    <w:nsid w:val="77334467"/>
    <w:multiLevelType w:val="multilevel"/>
    <w:tmpl w:val="F37ECF38"/>
    <w:styleLink w:val="StyleBulletedSymbolsymbol11ptLeft4cmHanging051"/>
    <w:lvl w:ilvl="0">
      <w:start w:val="1"/>
      <w:numFmt w:val="bullet"/>
      <w:lvlText w:val=""/>
      <w:lvlJc w:val="left"/>
      <w:pPr>
        <w:tabs>
          <w:tab w:val="num" w:pos="340"/>
        </w:tabs>
        <w:ind w:left="340" w:hanging="34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D6B5224"/>
    <w:multiLevelType w:val="multilevel"/>
    <w:tmpl w:val="58D0B304"/>
    <w:lvl w:ilvl="0">
      <w:start w:val="1"/>
      <w:numFmt w:val="bullet"/>
      <w:pStyle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E2E0B03"/>
    <w:multiLevelType w:val="hybridMultilevel"/>
    <w:tmpl w:val="98D82E7C"/>
    <w:lvl w:ilvl="0" w:tplc="C6DC5E0E">
      <w:start w:val="1"/>
      <w:numFmt w:val="bullet"/>
      <w:lvlText w:val="–"/>
      <w:lvlJc w:val="left"/>
      <w:pPr>
        <w:ind w:left="867" w:hanging="360"/>
      </w:pPr>
      <w:rPr>
        <w:rFonts w:ascii="Calibri Light" w:hAnsi="Calibri Light" w:hint="default"/>
      </w:rPr>
    </w:lvl>
    <w:lvl w:ilvl="1" w:tplc="0C090003" w:tentative="1">
      <w:start w:val="1"/>
      <w:numFmt w:val="bullet"/>
      <w:lvlText w:val="o"/>
      <w:lvlJc w:val="left"/>
      <w:pPr>
        <w:ind w:left="1587" w:hanging="360"/>
      </w:pPr>
      <w:rPr>
        <w:rFonts w:ascii="Courier New" w:hAnsi="Courier New" w:cs="Courier New" w:hint="default"/>
      </w:rPr>
    </w:lvl>
    <w:lvl w:ilvl="2" w:tplc="0C090005" w:tentative="1">
      <w:start w:val="1"/>
      <w:numFmt w:val="bullet"/>
      <w:lvlText w:val=""/>
      <w:lvlJc w:val="left"/>
      <w:pPr>
        <w:ind w:left="2307" w:hanging="360"/>
      </w:pPr>
      <w:rPr>
        <w:rFonts w:ascii="Wingdings" w:hAnsi="Wingdings" w:hint="default"/>
      </w:rPr>
    </w:lvl>
    <w:lvl w:ilvl="3" w:tplc="0C090001" w:tentative="1">
      <w:start w:val="1"/>
      <w:numFmt w:val="bullet"/>
      <w:lvlText w:val=""/>
      <w:lvlJc w:val="left"/>
      <w:pPr>
        <w:ind w:left="3027" w:hanging="360"/>
      </w:pPr>
      <w:rPr>
        <w:rFonts w:ascii="Symbol" w:hAnsi="Symbol" w:hint="default"/>
      </w:rPr>
    </w:lvl>
    <w:lvl w:ilvl="4" w:tplc="0C090003" w:tentative="1">
      <w:start w:val="1"/>
      <w:numFmt w:val="bullet"/>
      <w:lvlText w:val="o"/>
      <w:lvlJc w:val="left"/>
      <w:pPr>
        <w:ind w:left="3747" w:hanging="360"/>
      </w:pPr>
      <w:rPr>
        <w:rFonts w:ascii="Courier New" w:hAnsi="Courier New" w:cs="Courier New" w:hint="default"/>
      </w:rPr>
    </w:lvl>
    <w:lvl w:ilvl="5" w:tplc="0C090005" w:tentative="1">
      <w:start w:val="1"/>
      <w:numFmt w:val="bullet"/>
      <w:lvlText w:val=""/>
      <w:lvlJc w:val="left"/>
      <w:pPr>
        <w:ind w:left="4467" w:hanging="360"/>
      </w:pPr>
      <w:rPr>
        <w:rFonts w:ascii="Wingdings" w:hAnsi="Wingdings" w:hint="default"/>
      </w:rPr>
    </w:lvl>
    <w:lvl w:ilvl="6" w:tplc="0C090001" w:tentative="1">
      <w:start w:val="1"/>
      <w:numFmt w:val="bullet"/>
      <w:lvlText w:val=""/>
      <w:lvlJc w:val="left"/>
      <w:pPr>
        <w:ind w:left="5187" w:hanging="360"/>
      </w:pPr>
      <w:rPr>
        <w:rFonts w:ascii="Symbol" w:hAnsi="Symbol" w:hint="default"/>
      </w:rPr>
    </w:lvl>
    <w:lvl w:ilvl="7" w:tplc="0C090003" w:tentative="1">
      <w:start w:val="1"/>
      <w:numFmt w:val="bullet"/>
      <w:lvlText w:val="o"/>
      <w:lvlJc w:val="left"/>
      <w:pPr>
        <w:ind w:left="5907" w:hanging="360"/>
      </w:pPr>
      <w:rPr>
        <w:rFonts w:ascii="Courier New" w:hAnsi="Courier New" w:cs="Courier New" w:hint="default"/>
      </w:rPr>
    </w:lvl>
    <w:lvl w:ilvl="8" w:tplc="0C090005" w:tentative="1">
      <w:start w:val="1"/>
      <w:numFmt w:val="bullet"/>
      <w:lvlText w:val=""/>
      <w:lvlJc w:val="left"/>
      <w:pPr>
        <w:ind w:left="6627" w:hanging="360"/>
      </w:pPr>
      <w:rPr>
        <w:rFonts w:ascii="Wingdings" w:hAnsi="Wingdings" w:hint="default"/>
      </w:rPr>
    </w:lvl>
  </w:abstractNum>
  <w:abstractNum w:abstractNumId="32" w15:restartNumberingAfterBreak="0">
    <w:nsid w:val="7E902DB8"/>
    <w:multiLevelType w:val="hybridMultilevel"/>
    <w:tmpl w:val="57EC7C64"/>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16cid:durableId="1656176665">
    <w:abstractNumId w:val="7"/>
  </w:num>
  <w:num w:numId="2" w16cid:durableId="1320767375">
    <w:abstractNumId w:val="29"/>
  </w:num>
  <w:num w:numId="3" w16cid:durableId="146020706">
    <w:abstractNumId w:val="20"/>
  </w:num>
  <w:num w:numId="4" w16cid:durableId="1675255043">
    <w:abstractNumId w:val="23"/>
  </w:num>
  <w:num w:numId="5" w16cid:durableId="1861820887">
    <w:abstractNumId w:val="14"/>
  </w:num>
  <w:num w:numId="6" w16cid:durableId="752973981">
    <w:abstractNumId w:val="1"/>
  </w:num>
  <w:num w:numId="7" w16cid:durableId="1749768960">
    <w:abstractNumId w:val="3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2956362">
    <w:abstractNumId w:val="3"/>
  </w:num>
  <w:num w:numId="9" w16cid:durableId="1753309688">
    <w:abstractNumId w:val="15"/>
  </w:num>
  <w:num w:numId="10" w16cid:durableId="2074890115">
    <w:abstractNumId w:val="11"/>
  </w:num>
  <w:num w:numId="11" w16cid:durableId="925308105">
    <w:abstractNumId w:val="9"/>
  </w:num>
  <w:num w:numId="12" w16cid:durableId="1574385754">
    <w:abstractNumId w:val="8"/>
  </w:num>
  <w:num w:numId="13" w16cid:durableId="1552837621">
    <w:abstractNumId w:val="25"/>
  </w:num>
  <w:num w:numId="14" w16cid:durableId="1925070945">
    <w:abstractNumId w:val="5"/>
  </w:num>
  <w:num w:numId="15" w16cid:durableId="153618344">
    <w:abstractNumId w:val="2"/>
  </w:num>
  <w:num w:numId="16" w16cid:durableId="969286465">
    <w:abstractNumId w:val="10"/>
  </w:num>
  <w:num w:numId="17" w16cid:durableId="1013260735">
    <w:abstractNumId w:val="24"/>
  </w:num>
  <w:num w:numId="18" w16cid:durableId="680547615">
    <w:abstractNumId w:val="17"/>
  </w:num>
  <w:num w:numId="19" w16cid:durableId="470253560">
    <w:abstractNumId w:val="0"/>
  </w:num>
  <w:num w:numId="20" w16cid:durableId="904995183">
    <w:abstractNumId w:val="21"/>
  </w:num>
  <w:num w:numId="21" w16cid:durableId="1153646295">
    <w:abstractNumId w:val="3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96289177">
    <w:abstractNumId w:val="22"/>
  </w:num>
  <w:num w:numId="23" w16cid:durableId="181556579">
    <w:abstractNumId w:val="6"/>
  </w:num>
  <w:num w:numId="24" w16cid:durableId="1690794577">
    <w:abstractNumId w:val="19"/>
  </w:num>
  <w:num w:numId="25" w16cid:durableId="182401731">
    <w:abstractNumId w:val="31"/>
  </w:num>
  <w:num w:numId="26" w16cid:durableId="437799993">
    <w:abstractNumId w:val="13"/>
  </w:num>
  <w:num w:numId="27" w16cid:durableId="391462986">
    <w:abstractNumId w:val="26"/>
  </w:num>
  <w:num w:numId="28" w16cid:durableId="343555472">
    <w:abstractNumId w:val="28"/>
  </w:num>
  <w:num w:numId="29" w16cid:durableId="689573134">
    <w:abstractNumId w:val="27"/>
  </w:num>
  <w:num w:numId="30" w16cid:durableId="959871199">
    <w:abstractNumId w:val="18"/>
  </w:num>
  <w:num w:numId="31" w16cid:durableId="96759104">
    <w:abstractNumId w:val="32"/>
  </w:num>
  <w:num w:numId="32" w16cid:durableId="1341200777">
    <w:abstractNumId w:val="12"/>
  </w:num>
  <w:num w:numId="33" w16cid:durableId="527255623">
    <w:abstractNumId w:val="4"/>
  </w:num>
  <w:num w:numId="34" w16cid:durableId="932594795">
    <w:abstractNumId w:val="16"/>
  </w:num>
  <w:num w:numId="35" w16cid:durableId="465895499">
    <w:abstractNumId w:val="3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ecurityClassificationInHeader" w:val="False"/>
  </w:docVars>
  <w:rsids>
    <w:rsidRoot w:val="00E62B97"/>
    <w:rsid w:val="000013C8"/>
    <w:rsid w:val="00003315"/>
    <w:rsid w:val="000044B7"/>
    <w:rsid w:val="00005D68"/>
    <w:rsid w:val="00012D80"/>
    <w:rsid w:val="00014C99"/>
    <w:rsid w:val="00016670"/>
    <w:rsid w:val="00016730"/>
    <w:rsid w:val="00016B6C"/>
    <w:rsid w:val="000210A1"/>
    <w:rsid w:val="0002151A"/>
    <w:rsid w:val="000221CD"/>
    <w:rsid w:val="00022DD2"/>
    <w:rsid w:val="000260BD"/>
    <w:rsid w:val="00033942"/>
    <w:rsid w:val="0003483D"/>
    <w:rsid w:val="00035027"/>
    <w:rsid w:val="0004086A"/>
    <w:rsid w:val="00041070"/>
    <w:rsid w:val="000421F9"/>
    <w:rsid w:val="00042472"/>
    <w:rsid w:val="000450BD"/>
    <w:rsid w:val="0004544E"/>
    <w:rsid w:val="00045C24"/>
    <w:rsid w:val="00046340"/>
    <w:rsid w:val="000500B4"/>
    <w:rsid w:val="000521B7"/>
    <w:rsid w:val="0005768E"/>
    <w:rsid w:val="00057DD1"/>
    <w:rsid w:val="000605EA"/>
    <w:rsid w:val="00060C76"/>
    <w:rsid w:val="0006118C"/>
    <w:rsid w:val="00061DCE"/>
    <w:rsid w:val="00064234"/>
    <w:rsid w:val="00065F95"/>
    <w:rsid w:val="00067E65"/>
    <w:rsid w:val="0007143B"/>
    <w:rsid w:val="00071B4F"/>
    <w:rsid w:val="00071B6E"/>
    <w:rsid w:val="00073CCF"/>
    <w:rsid w:val="000753CE"/>
    <w:rsid w:val="00075BCF"/>
    <w:rsid w:val="00077AAA"/>
    <w:rsid w:val="00080187"/>
    <w:rsid w:val="00081AD8"/>
    <w:rsid w:val="00082CB1"/>
    <w:rsid w:val="00085636"/>
    <w:rsid w:val="000874A8"/>
    <w:rsid w:val="00090921"/>
    <w:rsid w:val="000925BC"/>
    <w:rsid w:val="00092F47"/>
    <w:rsid w:val="00094191"/>
    <w:rsid w:val="000945AA"/>
    <w:rsid w:val="00094D39"/>
    <w:rsid w:val="00095827"/>
    <w:rsid w:val="000959BC"/>
    <w:rsid w:val="000A0A6F"/>
    <w:rsid w:val="000A18A1"/>
    <w:rsid w:val="000A200F"/>
    <w:rsid w:val="000A4D2D"/>
    <w:rsid w:val="000A55B2"/>
    <w:rsid w:val="000A560C"/>
    <w:rsid w:val="000A5985"/>
    <w:rsid w:val="000A7E02"/>
    <w:rsid w:val="000B0C4B"/>
    <w:rsid w:val="000B1000"/>
    <w:rsid w:val="000B1048"/>
    <w:rsid w:val="000B1EC3"/>
    <w:rsid w:val="000B23B3"/>
    <w:rsid w:val="000B2CD8"/>
    <w:rsid w:val="000B3A1D"/>
    <w:rsid w:val="000B3C8F"/>
    <w:rsid w:val="000B3C90"/>
    <w:rsid w:val="000B4D2E"/>
    <w:rsid w:val="000B639C"/>
    <w:rsid w:val="000C02C9"/>
    <w:rsid w:val="000C1A66"/>
    <w:rsid w:val="000C4376"/>
    <w:rsid w:val="000C4EA9"/>
    <w:rsid w:val="000C52F9"/>
    <w:rsid w:val="000C6412"/>
    <w:rsid w:val="000D032E"/>
    <w:rsid w:val="000D0F6B"/>
    <w:rsid w:val="000D13F4"/>
    <w:rsid w:val="000D172A"/>
    <w:rsid w:val="000D2C88"/>
    <w:rsid w:val="000D2FAD"/>
    <w:rsid w:val="000D30B1"/>
    <w:rsid w:val="000D33F2"/>
    <w:rsid w:val="000D3D78"/>
    <w:rsid w:val="000D52FE"/>
    <w:rsid w:val="000D54D7"/>
    <w:rsid w:val="000D5BA2"/>
    <w:rsid w:val="000D7184"/>
    <w:rsid w:val="000D7D2F"/>
    <w:rsid w:val="000E01AB"/>
    <w:rsid w:val="000E0F6D"/>
    <w:rsid w:val="000E11DD"/>
    <w:rsid w:val="000E324C"/>
    <w:rsid w:val="000E375F"/>
    <w:rsid w:val="000E6F3D"/>
    <w:rsid w:val="000E6F52"/>
    <w:rsid w:val="000E7ECC"/>
    <w:rsid w:val="000F1E0E"/>
    <w:rsid w:val="000F2493"/>
    <w:rsid w:val="000F2562"/>
    <w:rsid w:val="000F33C9"/>
    <w:rsid w:val="000F37AC"/>
    <w:rsid w:val="000F3A25"/>
    <w:rsid w:val="000F5323"/>
    <w:rsid w:val="00100AF5"/>
    <w:rsid w:val="00100EAA"/>
    <w:rsid w:val="00101484"/>
    <w:rsid w:val="00101BD0"/>
    <w:rsid w:val="00102238"/>
    <w:rsid w:val="00104611"/>
    <w:rsid w:val="001055C3"/>
    <w:rsid w:val="00105A1C"/>
    <w:rsid w:val="00105EBE"/>
    <w:rsid w:val="00107BCF"/>
    <w:rsid w:val="00110BDC"/>
    <w:rsid w:val="00110C56"/>
    <w:rsid w:val="00110E90"/>
    <w:rsid w:val="00111637"/>
    <w:rsid w:val="001116B0"/>
    <w:rsid w:val="001125F3"/>
    <w:rsid w:val="00113936"/>
    <w:rsid w:val="001139A1"/>
    <w:rsid w:val="00113DFE"/>
    <w:rsid w:val="001140B4"/>
    <w:rsid w:val="001145FD"/>
    <w:rsid w:val="00114FF7"/>
    <w:rsid w:val="00115B2E"/>
    <w:rsid w:val="0011628E"/>
    <w:rsid w:val="00121E60"/>
    <w:rsid w:val="00123040"/>
    <w:rsid w:val="001230A9"/>
    <w:rsid w:val="0012525B"/>
    <w:rsid w:val="001263FD"/>
    <w:rsid w:val="00127028"/>
    <w:rsid w:val="001272FC"/>
    <w:rsid w:val="0012754E"/>
    <w:rsid w:val="0013133E"/>
    <w:rsid w:val="0013143C"/>
    <w:rsid w:val="00132248"/>
    <w:rsid w:val="001342E6"/>
    <w:rsid w:val="00135B70"/>
    <w:rsid w:val="001363E7"/>
    <w:rsid w:val="001376CC"/>
    <w:rsid w:val="00137BC3"/>
    <w:rsid w:val="00140189"/>
    <w:rsid w:val="00140697"/>
    <w:rsid w:val="001409BC"/>
    <w:rsid w:val="00141362"/>
    <w:rsid w:val="0014178A"/>
    <w:rsid w:val="00141D94"/>
    <w:rsid w:val="00141E75"/>
    <w:rsid w:val="00144B84"/>
    <w:rsid w:val="00145A4B"/>
    <w:rsid w:val="0014636D"/>
    <w:rsid w:val="0015017E"/>
    <w:rsid w:val="0015142A"/>
    <w:rsid w:val="00153BA7"/>
    <w:rsid w:val="0015437B"/>
    <w:rsid w:val="00155661"/>
    <w:rsid w:val="00157BFB"/>
    <w:rsid w:val="001609F4"/>
    <w:rsid w:val="00160E9A"/>
    <w:rsid w:val="00161487"/>
    <w:rsid w:val="00163370"/>
    <w:rsid w:val="0016497B"/>
    <w:rsid w:val="00164C91"/>
    <w:rsid w:val="00164D25"/>
    <w:rsid w:val="00165659"/>
    <w:rsid w:val="001659E6"/>
    <w:rsid w:val="001666A6"/>
    <w:rsid w:val="00166A45"/>
    <w:rsid w:val="00174954"/>
    <w:rsid w:val="00174C1E"/>
    <w:rsid w:val="00175E2A"/>
    <w:rsid w:val="00176287"/>
    <w:rsid w:val="001772F5"/>
    <w:rsid w:val="00177800"/>
    <w:rsid w:val="00180060"/>
    <w:rsid w:val="00181D69"/>
    <w:rsid w:val="00182040"/>
    <w:rsid w:val="001820B2"/>
    <w:rsid w:val="001823AE"/>
    <w:rsid w:val="00182CA8"/>
    <w:rsid w:val="00182E9E"/>
    <w:rsid w:val="00182EF8"/>
    <w:rsid w:val="00183F40"/>
    <w:rsid w:val="0018485A"/>
    <w:rsid w:val="0018494B"/>
    <w:rsid w:val="00184AC4"/>
    <w:rsid w:val="00185E58"/>
    <w:rsid w:val="00185FF8"/>
    <w:rsid w:val="00186748"/>
    <w:rsid w:val="00186D0F"/>
    <w:rsid w:val="00187425"/>
    <w:rsid w:val="0018778A"/>
    <w:rsid w:val="00190D7B"/>
    <w:rsid w:val="00192367"/>
    <w:rsid w:val="001929D8"/>
    <w:rsid w:val="0019374B"/>
    <w:rsid w:val="00193B36"/>
    <w:rsid w:val="00193F43"/>
    <w:rsid w:val="00197414"/>
    <w:rsid w:val="001A26B6"/>
    <w:rsid w:val="001A49F2"/>
    <w:rsid w:val="001A5155"/>
    <w:rsid w:val="001A5DCC"/>
    <w:rsid w:val="001A6494"/>
    <w:rsid w:val="001B0680"/>
    <w:rsid w:val="001B07E5"/>
    <w:rsid w:val="001B193F"/>
    <w:rsid w:val="001B2A25"/>
    <w:rsid w:val="001B362C"/>
    <w:rsid w:val="001B3A29"/>
    <w:rsid w:val="001B50F3"/>
    <w:rsid w:val="001B52CA"/>
    <w:rsid w:val="001B540E"/>
    <w:rsid w:val="001B6246"/>
    <w:rsid w:val="001B6F81"/>
    <w:rsid w:val="001C0F6D"/>
    <w:rsid w:val="001C1060"/>
    <w:rsid w:val="001C1EE4"/>
    <w:rsid w:val="001C20E3"/>
    <w:rsid w:val="001C22FF"/>
    <w:rsid w:val="001C232A"/>
    <w:rsid w:val="001C2CCA"/>
    <w:rsid w:val="001C31D3"/>
    <w:rsid w:val="001C3CDF"/>
    <w:rsid w:val="001C4491"/>
    <w:rsid w:val="001C5117"/>
    <w:rsid w:val="001C672A"/>
    <w:rsid w:val="001C78AE"/>
    <w:rsid w:val="001D173F"/>
    <w:rsid w:val="001D254F"/>
    <w:rsid w:val="001D36CD"/>
    <w:rsid w:val="001D45A4"/>
    <w:rsid w:val="001D5544"/>
    <w:rsid w:val="001D55C9"/>
    <w:rsid w:val="001D63A6"/>
    <w:rsid w:val="001D7024"/>
    <w:rsid w:val="001E091C"/>
    <w:rsid w:val="001E0953"/>
    <w:rsid w:val="001E3053"/>
    <w:rsid w:val="001E4934"/>
    <w:rsid w:val="001E4AF2"/>
    <w:rsid w:val="001E50DC"/>
    <w:rsid w:val="001E5623"/>
    <w:rsid w:val="001E6DC2"/>
    <w:rsid w:val="001E7840"/>
    <w:rsid w:val="001E7CF5"/>
    <w:rsid w:val="001F0D02"/>
    <w:rsid w:val="001F15B6"/>
    <w:rsid w:val="001F50DA"/>
    <w:rsid w:val="001F5658"/>
    <w:rsid w:val="001F5C0B"/>
    <w:rsid w:val="00200F66"/>
    <w:rsid w:val="00203245"/>
    <w:rsid w:val="00204D9F"/>
    <w:rsid w:val="00205680"/>
    <w:rsid w:val="00205F44"/>
    <w:rsid w:val="002072D8"/>
    <w:rsid w:val="002075F6"/>
    <w:rsid w:val="002105F8"/>
    <w:rsid w:val="00211118"/>
    <w:rsid w:val="0021169E"/>
    <w:rsid w:val="002123DD"/>
    <w:rsid w:val="00213D10"/>
    <w:rsid w:val="00214C97"/>
    <w:rsid w:val="00214DFB"/>
    <w:rsid w:val="00214E42"/>
    <w:rsid w:val="00215EE7"/>
    <w:rsid w:val="00222673"/>
    <w:rsid w:val="00223D87"/>
    <w:rsid w:val="00224A3E"/>
    <w:rsid w:val="002268AB"/>
    <w:rsid w:val="00226F00"/>
    <w:rsid w:val="0022749C"/>
    <w:rsid w:val="00227636"/>
    <w:rsid w:val="00227C77"/>
    <w:rsid w:val="002315B0"/>
    <w:rsid w:val="00233231"/>
    <w:rsid w:val="00233887"/>
    <w:rsid w:val="00233A88"/>
    <w:rsid w:val="00234328"/>
    <w:rsid w:val="0023595D"/>
    <w:rsid w:val="002403D4"/>
    <w:rsid w:val="00240642"/>
    <w:rsid w:val="00241B9A"/>
    <w:rsid w:val="0024226F"/>
    <w:rsid w:val="00243311"/>
    <w:rsid w:val="00243FBE"/>
    <w:rsid w:val="00244C19"/>
    <w:rsid w:val="00244DB3"/>
    <w:rsid w:val="00245342"/>
    <w:rsid w:val="002462BD"/>
    <w:rsid w:val="00246A89"/>
    <w:rsid w:val="00246E66"/>
    <w:rsid w:val="0025244B"/>
    <w:rsid w:val="00255BA5"/>
    <w:rsid w:val="00256825"/>
    <w:rsid w:val="00260712"/>
    <w:rsid w:val="00263339"/>
    <w:rsid w:val="00264ADB"/>
    <w:rsid w:val="00264B4E"/>
    <w:rsid w:val="00265162"/>
    <w:rsid w:val="00267305"/>
    <w:rsid w:val="00270449"/>
    <w:rsid w:val="00271372"/>
    <w:rsid w:val="00271A4D"/>
    <w:rsid w:val="00273FCA"/>
    <w:rsid w:val="0027418C"/>
    <w:rsid w:val="002762F7"/>
    <w:rsid w:val="00276461"/>
    <w:rsid w:val="002774F1"/>
    <w:rsid w:val="002809F6"/>
    <w:rsid w:val="002827CE"/>
    <w:rsid w:val="002830CA"/>
    <w:rsid w:val="00283303"/>
    <w:rsid w:val="002843DF"/>
    <w:rsid w:val="00285334"/>
    <w:rsid w:val="0028714C"/>
    <w:rsid w:val="00287F32"/>
    <w:rsid w:val="0029134D"/>
    <w:rsid w:val="002943A1"/>
    <w:rsid w:val="0029742B"/>
    <w:rsid w:val="002978C8"/>
    <w:rsid w:val="00297A70"/>
    <w:rsid w:val="002A00DC"/>
    <w:rsid w:val="002A0AC1"/>
    <w:rsid w:val="002A0B32"/>
    <w:rsid w:val="002A0ED0"/>
    <w:rsid w:val="002A158C"/>
    <w:rsid w:val="002A3496"/>
    <w:rsid w:val="002A4B83"/>
    <w:rsid w:val="002A6430"/>
    <w:rsid w:val="002A79C5"/>
    <w:rsid w:val="002B1B82"/>
    <w:rsid w:val="002B5433"/>
    <w:rsid w:val="002B61A7"/>
    <w:rsid w:val="002B7A82"/>
    <w:rsid w:val="002C26D9"/>
    <w:rsid w:val="002C479D"/>
    <w:rsid w:val="002C4CE3"/>
    <w:rsid w:val="002C5406"/>
    <w:rsid w:val="002C5906"/>
    <w:rsid w:val="002C7E62"/>
    <w:rsid w:val="002D010E"/>
    <w:rsid w:val="002D16E3"/>
    <w:rsid w:val="002D3E1D"/>
    <w:rsid w:val="002D4516"/>
    <w:rsid w:val="002D49D1"/>
    <w:rsid w:val="002D5999"/>
    <w:rsid w:val="002D6A77"/>
    <w:rsid w:val="002D6D10"/>
    <w:rsid w:val="002D712B"/>
    <w:rsid w:val="002D7E59"/>
    <w:rsid w:val="002E3D3D"/>
    <w:rsid w:val="002E42F2"/>
    <w:rsid w:val="002E61D5"/>
    <w:rsid w:val="002E6E11"/>
    <w:rsid w:val="002E7882"/>
    <w:rsid w:val="002F05D4"/>
    <w:rsid w:val="002F1B8E"/>
    <w:rsid w:val="002F2CF4"/>
    <w:rsid w:val="002F328D"/>
    <w:rsid w:val="002F417B"/>
    <w:rsid w:val="002F6899"/>
    <w:rsid w:val="002F6ADC"/>
    <w:rsid w:val="0030006E"/>
    <w:rsid w:val="00300C95"/>
    <w:rsid w:val="0030116D"/>
    <w:rsid w:val="00301D04"/>
    <w:rsid w:val="00302541"/>
    <w:rsid w:val="00303293"/>
    <w:rsid w:val="003036D9"/>
    <w:rsid w:val="00303841"/>
    <w:rsid w:val="00303DEE"/>
    <w:rsid w:val="003042E2"/>
    <w:rsid w:val="003054A8"/>
    <w:rsid w:val="00305B89"/>
    <w:rsid w:val="00305BC9"/>
    <w:rsid w:val="00305C23"/>
    <w:rsid w:val="00306770"/>
    <w:rsid w:val="00307DA3"/>
    <w:rsid w:val="00313247"/>
    <w:rsid w:val="0031387E"/>
    <w:rsid w:val="00315372"/>
    <w:rsid w:val="00315AEC"/>
    <w:rsid w:val="0031677F"/>
    <w:rsid w:val="0032355B"/>
    <w:rsid w:val="00324A1D"/>
    <w:rsid w:val="003256EB"/>
    <w:rsid w:val="003261C5"/>
    <w:rsid w:val="00327D31"/>
    <w:rsid w:val="00330102"/>
    <w:rsid w:val="003305CA"/>
    <w:rsid w:val="00330C71"/>
    <w:rsid w:val="00332388"/>
    <w:rsid w:val="00333B55"/>
    <w:rsid w:val="0033409E"/>
    <w:rsid w:val="003364EA"/>
    <w:rsid w:val="00337CAD"/>
    <w:rsid w:val="0034064A"/>
    <w:rsid w:val="00341961"/>
    <w:rsid w:val="00344CAE"/>
    <w:rsid w:val="0034564D"/>
    <w:rsid w:val="00347843"/>
    <w:rsid w:val="00352358"/>
    <w:rsid w:val="003523D0"/>
    <w:rsid w:val="00353390"/>
    <w:rsid w:val="00353565"/>
    <w:rsid w:val="003539A9"/>
    <w:rsid w:val="003550F6"/>
    <w:rsid w:val="00355835"/>
    <w:rsid w:val="00355B3A"/>
    <w:rsid w:val="0035615E"/>
    <w:rsid w:val="00356891"/>
    <w:rsid w:val="00356E4A"/>
    <w:rsid w:val="00357842"/>
    <w:rsid w:val="003624AD"/>
    <w:rsid w:val="00366962"/>
    <w:rsid w:val="00367C92"/>
    <w:rsid w:val="00367CAB"/>
    <w:rsid w:val="00370FFD"/>
    <w:rsid w:val="00371100"/>
    <w:rsid w:val="00372AC1"/>
    <w:rsid w:val="00372E18"/>
    <w:rsid w:val="00373E83"/>
    <w:rsid w:val="003802F4"/>
    <w:rsid w:val="00381B8A"/>
    <w:rsid w:val="0038253C"/>
    <w:rsid w:val="003825D7"/>
    <w:rsid w:val="00383064"/>
    <w:rsid w:val="003831AB"/>
    <w:rsid w:val="0038361C"/>
    <w:rsid w:val="0038555F"/>
    <w:rsid w:val="003855C5"/>
    <w:rsid w:val="00386F42"/>
    <w:rsid w:val="00386F53"/>
    <w:rsid w:val="00390C06"/>
    <w:rsid w:val="00394253"/>
    <w:rsid w:val="003958FC"/>
    <w:rsid w:val="00395DD2"/>
    <w:rsid w:val="00396F2A"/>
    <w:rsid w:val="003971F5"/>
    <w:rsid w:val="003974F2"/>
    <w:rsid w:val="003A1AC0"/>
    <w:rsid w:val="003A1B95"/>
    <w:rsid w:val="003A32FD"/>
    <w:rsid w:val="003A422A"/>
    <w:rsid w:val="003A63D1"/>
    <w:rsid w:val="003B02C6"/>
    <w:rsid w:val="003B12D7"/>
    <w:rsid w:val="003B2EA4"/>
    <w:rsid w:val="003B3A67"/>
    <w:rsid w:val="003B4020"/>
    <w:rsid w:val="003C047D"/>
    <w:rsid w:val="003C0C28"/>
    <w:rsid w:val="003C191D"/>
    <w:rsid w:val="003C327C"/>
    <w:rsid w:val="003C4F86"/>
    <w:rsid w:val="003C50BB"/>
    <w:rsid w:val="003C5821"/>
    <w:rsid w:val="003C6438"/>
    <w:rsid w:val="003C6535"/>
    <w:rsid w:val="003C7697"/>
    <w:rsid w:val="003C789B"/>
    <w:rsid w:val="003D112A"/>
    <w:rsid w:val="003D220E"/>
    <w:rsid w:val="003D2575"/>
    <w:rsid w:val="003D2E2A"/>
    <w:rsid w:val="003D2F0B"/>
    <w:rsid w:val="003D43C0"/>
    <w:rsid w:val="003D6BFB"/>
    <w:rsid w:val="003D7CEE"/>
    <w:rsid w:val="003E086E"/>
    <w:rsid w:val="003E2253"/>
    <w:rsid w:val="003E26C5"/>
    <w:rsid w:val="003E3763"/>
    <w:rsid w:val="003E5F0C"/>
    <w:rsid w:val="003E7E19"/>
    <w:rsid w:val="003F01A2"/>
    <w:rsid w:val="003F0CF7"/>
    <w:rsid w:val="003F2E2F"/>
    <w:rsid w:val="003F3883"/>
    <w:rsid w:val="003F424B"/>
    <w:rsid w:val="003F6358"/>
    <w:rsid w:val="0040177E"/>
    <w:rsid w:val="004018D0"/>
    <w:rsid w:val="0041009F"/>
    <w:rsid w:val="00411BE9"/>
    <w:rsid w:val="00412E59"/>
    <w:rsid w:val="00413452"/>
    <w:rsid w:val="00414347"/>
    <w:rsid w:val="00415880"/>
    <w:rsid w:val="00420FD0"/>
    <w:rsid w:val="004221FF"/>
    <w:rsid w:val="004256A2"/>
    <w:rsid w:val="0042590F"/>
    <w:rsid w:val="00425CCF"/>
    <w:rsid w:val="00425E05"/>
    <w:rsid w:val="00427214"/>
    <w:rsid w:val="00430883"/>
    <w:rsid w:val="00431775"/>
    <w:rsid w:val="00432301"/>
    <w:rsid w:val="00432C06"/>
    <w:rsid w:val="004339EE"/>
    <w:rsid w:val="00433B4A"/>
    <w:rsid w:val="0043441B"/>
    <w:rsid w:val="0043500C"/>
    <w:rsid w:val="0043686D"/>
    <w:rsid w:val="00441635"/>
    <w:rsid w:val="00442C7E"/>
    <w:rsid w:val="00443B29"/>
    <w:rsid w:val="0044439A"/>
    <w:rsid w:val="00444717"/>
    <w:rsid w:val="00444B37"/>
    <w:rsid w:val="00450CCE"/>
    <w:rsid w:val="00451756"/>
    <w:rsid w:val="004530BC"/>
    <w:rsid w:val="0045424C"/>
    <w:rsid w:val="004542B7"/>
    <w:rsid w:val="004543B2"/>
    <w:rsid w:val="004546DC"/>
    <w:rsid w:val="00456217"/>
    <w:rsid w:val="00456EF0"/>
    <w:rsid w:val="00460E8F"/>
    <w:rsid w:val="004614D0"/>
    <w:rsid w:val="00463ADD"/>
    <w:rsid w:val="00463D4E"/>
    <w:rsid w:val="0046474E"/>
    <w:rsid w:val="0046618E"/>
    <w:rsid w:val="00470BA0"/>
    <w:rsid w:val="00471505"/>
    <w:rsid w:val="0047271D"/>
    <w:rsid w:val="00473103"/>
    <w:rsid w:val="0047507F"/>
    <w:rsid w:val="00477439"/>
    <w:rsid w:val="00477CDB"/>
    <w:rsid w:val="00484C23"/>
    <w:rsid w:val="00485170"/>
    <w:rsid w:val="004853C3"/>
    <w:rsid w:val="00485A3D"/>
    <w:rsid w:val="00486B7C"/>
    <w:rsid w:val="00486B88"/>
    <w:rsid w:val="00487009"/>
    <w:rsid w:val="00490C62"/>
    <w:rsid w:val="00492210"/>
    <w:rsid w:val="004923E6"/>
    <w:rsid w:val="00495AD5"/>
    <w:rsid w:val="00496135"/>
    <w:rsid w:val="0049673E"/>
    <w:rsid w:val="00496C34"/>
    <w:rsid w:val="00497078"/>
    <w:rsid w:val="0049778B"/>
    <w:rsid w:val="004A077F"/>
    <w:rsid w:val="004A0EB0"/>
    <w:rsid w:val="004A126D"/>
    <w:rsid w:val="004A2382"/>
    <w:rsid w:val="004A2AFD"/>
    <w:rsid w:val="004A35D5"/>
    <w:rsid w:val="004A3630"/>
    <w:rsid w:val="004A37EA"/>
    <w:rsid w:val="004A4424"/>
    <w:rsid w:val="004A4960"/>
    <w:rsid w:val="004A513B"/>
    <w:rsid w:val="004A6216"/>
    <w:rsid w:val="004B08DC"/>
    <w:rsid w:val="004B0F01"/>
    <w:rsid w:val="004B1B62"/>
    <w:rsid w:val="004B1F82"/>
    <w:rsid w:val="004B2B84"/>
    <w:rsid w:val="004B4338"/>
    <w:rsid w:val="004B477F"/>
    <w:rsid w:val="004B4D46"/>
    <w:rsid w:val="004B51E3"/>
    <w:rsid w:val="004B56B0"/>
    <w:rsid w:val="004B6BA2"/>
    <w:rsid w:val="004C0D45"/>
    <w:rsid w:val="004C3108"/>
    <w:rsid w:val="004C5917"/>
    <w:rsid w:val="004C5E48"/>
    <w:rsid w:val="004C6E4D"/>
    <w:rsid w:val="004D0778"/>
    <w:rsid w:val="004D109A"/>
    <w:rsid w:val="004D3754"/>
    <w:rsid w:val="004D5B77"/>
    <w:rsid w:val="004D5E59"/>
    <w:rsid w:val="004D7233"/>
    <w:rsid w:val="004D7544"/>
    <w:rsid w:val="004D75F6"/>
    <w:rsid w:val="004D7EAB"/>
    <w:rsid w:val="004E204B"/>
    <w:rsid w:val="004E27FB"/>
    <w:rsid w:val="004E290F"/>
    <w:rsid w:val="004E424B"/>
    <w:rsid w:val="004E4B7D"/>
    <w:rsid w:val="004E71FE"/>
    <w:rsid w:val="004E7748"/>
    <w:rsid w:val="004F0395"/>
    <w:rsid w:val="004F0660"/>
    <w:rsid w:val="004F0BDF"/>
    <w:rsid w:val="004F1C7A"/>
    <w:rsid w:val="004F2308"/>
    <w:rsid w:val="004F2380"/>
    <w:rsid w:val="004F24D0"/>
    <w:rsid w:val="004F26E4"/>
    <w:rsid w:val="004F5526"/>
    <w:rsid w:val="004F5B99"/>
    <w:rsid w:val="004F6C51"/>
    <w:rsid w:val="005019C6"/>
    <w:rsid w:val="00502804"/>
    <w:rsid w:val="00502E10"/>
    <w:rsid w:val="005043D2"/>
    <w:rsid w:val="00504E83"/>
    <w:rsid w:val="00505009"/>
    <w:rsid w:val="00506BF4"/>
    <w:rsid w:val="00507097"/>
    <w:rsid w:val="005115AE"/>
    <w:rsid w:val="0051278A"/>
    <w:rsid w:val="0051600D"/>
    <w:rsid w:val="00516FB2"/>
    <w:rsid w:val="005174C2"/>
    <w:rsid w:val="00521AF1"/>
    <w:rsid w:val="00523FF3"/>
    <w:rsid w:val="00524AF3"/>
    <w:rsid w:val="00524DCE"/>
    <w:rsid w:val="00525050"/>
    <w:rsid w:val="005257B9"/>
    <w:rsid w:val="00526314"/>
    <w:rsid w:val="0053110F"/>
    <w:rsid w:val="00531E02"/>
    <w:rsid w:val="00532821"/>
    <w:rsid w:val="00533FEF"/>
    <w:rsid w:val="00534758"/>
    <w:rsid w:val="005348D1"/>
    <w:rsid w:val="00535646"/>
    <w:rsid w:val="00535C81"/>
    <w:rsid w:val="00535F7B"/>
    <w:rsid w:val="00536034"/>
    <w:rsid w:val="005403CF"/>
    <w:rsid w:val="00541379"/>
    <w:rsid w:val="00546D44"/>
    <w:rsid w:val="00546D8E"/>
    <w:rsid w:val="00546FDD"/>
    <w:rsid w:val="005476B3"/>
    <w:rsid w:val="00547DF5"/>
    <w:rsid w:val="00551340"/>
    <w:rsid w:val="00552333"/>
    <w:rsid w:val="00554640"/>
    <w:rsid w:val="005606BF"/>
    <w:rsid w:val="005606FD"/>
    <w:rsid w:val="005608A6"/>
    <w:rsid w:val="00565852"/>
    <w:rsid w:val="00565A52"/>
    <w:rsid w:val="00566AD8"/>
    <w:rsid w:val="0056748A"/>
    <w:rsid w:val="00570B86"/>
    <w:rsid w:val="005732EB"/>
    <w:rsid w:val="005746DC"/>
    <w:rsid w:val="00575659"/>
    <w:rsid w:val="00575C59"/>
    <w:rsid w:val="005803BF"/>
    <w:rsid w:val="00582B42"/>
    <w:rsid w:val="00582FAD"/>
    <w:rsid w:val="00584B76"/>
    <w:rsid w:val="00585F7E"/>
    <w:rsid w:val="00587310"/>
    <w:rsid w:val="005906E4"/>
    <w:rsid w:val="0059203C"/>
    <w:rsid w:val="005936C9"/>
    <w:rsid w:val="00593FAB"/>
    <w:rsid w:val="00594ABF"/>
    <w:rsid w:val="00594E60"/>
    <w:rsid w:val="00595B5E"/>
    <w:rsid w:val="00596150"/>
    <w:rsid w:val="005A11E6"/>
    <w:rsid w:val="005A1D84"/>
    <w:rsid w:val="005A2484"/>
    <w:rsid w:val="005A3445"/>
    <w:rsid w:val="005A4648"/>
    <w:rsid w:val="005A4B43"/>
    <w:rsid w:val="005A6A61"/>
    <w:rsid w:val="005A73F8"/>
    <w:rsid w:val="005B05C3"/>
    <w:rsid w:val="005B0968"/>
    <w:rsid w:val="005B1284"/>
    <w:rsid w:val="005B1559"/>
    <w:rsid w:val="005B207E"/>
    <w:rsid w:val="005B2484"/>
    <w:rsid w:val="005B3871"/>
    <w:rsid w:val="005B44DE"/>
    <w:rsid w:val="005B659D"/>
    <w:rsid w:val="005B6B98"/>
    <w:rsid w:val="005B6E34"/>
    <w:rsid w:val="005B6FCE"/>
    <w:rsid w:val="005C0ECB"/>
    <w:rsid w:val="005C1326"/>
    <w:rsid w:val="005C3527"/>
    <w:rsid w:val="005C3CF8"/>
    <w:rsid w:val="005C4B02"/>
    <w:rsid w:val="005C6778"/>
    <w:rsid w:val="005D0ADE"/>
    <w:rsid w:val="005D185A"/>
    <w:rsid w:val="005D1A20"/>
    <w:rsid w:val="005D3143"/>
    <w:rsid w:val="005D732E"/>
    <w:rsid w:val="005D775E"/>
    <w:rsid w:val="005D77D2"/>
    <w:rsid w:val="005D7E3B"/>
    <w:rsid w:val="005E13D7"/>
    <w:rsid w:val="005E15BF"/>
    <w:rsid w:val="005E35FA"/>
    <w:rsid w:val="005E3C35"/>
    <w:rsid w:val="005E464C"/>
    <w:rsid w:val="005E49AC"/>
    <w:rsid w:val="005E5C82"/>
    <w:rsid w:val="005E62D6"/>
    <w:rsid w:val="005E748C"/>
    <w:rsid w:val="005F01D3"/>
    <w:rsid w:val="005F0FBF"/>
    <w:rsid w:val="005F169F"/>
    <w:rsid w:val="005F1BE7"/>
    <w:rsid w:val="005F3FCC"/>
    <w:rsid w:val="006014A0"/>
    <w:rsid w:val="00602597"/>
    <w:rsid w:val="00602E2D"/>
    <w:rsid w:val="00603D0C"/>
    <w:rsid w:val="00603E11"/>
    <w:rsid w:val="00604D37"/>
    <w:rsid w:val="00612268"/>
    <w:rsid w:val="00613818"/>
    <w:rsid w:val="00613A78"/>
    <w:rsid w:val="00614971"/>
    <w:rsid w:val="00614DC2"/>
    <w:rsid w:val="00615B89"/>
    <w:rsid w:val="00616403"/>
    <w:rsid w:val="00616C92"/>
    <w:rsid w:val="00620CB8"/>
    <w:rsid w:val="00621CDD"/>
    <w:rsid w:val="006225C1"/>
    <w:rsid w:val="00622716"/>
    <w:rsid w:val="0062275B"/>
    <w:rsid w:val="00623A1E"/>
    <w:rsid w:val="00624096"/>
    <w:rsid w:val="0062515C"/>
    <w:rsid w:val="0062552B"/>
    <w:rsid w:val="00627218"/>
    <w:rsid w:val="00627EC2"/>
    <w:rsid w:val="006355D1"/>
    <w:rsid w:val="00635DD4"/>
    <w:rsid w:val="00636D12"/>
    <w:rsid w:val="00637692"/>
    <w:rsid w:val="00637F43"/>
    <w:rsid w:val="00637F76"/>
    <w:rsid w:val="00644D1C"/>
    <w:rsid w:val="00646565"/>
    <w:rsid w:val="0064704A"/>
    <w:rsid w:val="00650A14"/>
    <w:rsid w:val="006512C5"/>
    <w:rsid w:val="006619FE"/>
    <w:rsid w:val="00661FCD"/>
    <w:rsid w:val="00662119"/>
    <w:rsid w:val="00664BFC"/>
    <w:rsid w:val="00670B7C"/>
    <w:rsid w:val="00670D1D"/>
    <w:rsid w:val="00670FF7"/>
    <w:rsid w:val="00671D99"/>
    <w:rsid w:val="006721AC"/>
    <w:rsid w:val="00672839"/>
    <w:rsid w:val="00674EC2"/>
    <w:rsid w:val="00680DBE"/>
    <w:rsid w:val="006813A1"/>
    <w:rsid w:val="00681BA0"/>
    <w:rsid w:val="00681EFB"/>
    <w:rsid w:val="006839E1"/>
    <w:rsid w:val="0068569B"/>
    <w:rsid w:val="006902C8"/>
    <w:rsid w:val="006916AD"/>
    <w:rsid w:val="00692FC8"/>
    <w:rsid w:val="00694B4F"/>
    <w:rsid w:val="00694CC6"/>
    <w:rsid w:val="00695415"/>
    <w:rsid w:val="006A0E86"/>
    <w:rsid w:val="006A118D"/>
    <w:rsid w:val="006A1B17"/>
    <w:rsid w:val="006A3972"/>
    <w:rsid w:val="006A5224"/>
    <w:rsid w:val="006A54A0"/>
    <w:rsid w:val="006A712D"/>
    <w:rsid w:val="006B015E"/>
    <w:rsid w:val="006B4732"/>
    <w:rsid w:val="006C04AE"/>
    <w:rsid w:val="006C43CE"/>
    <w:rsid w:val="006C5176"/>
    <w:rsid w:val="006C5AB1"/>
    <w:rsid w:val="006D03AA"/>
    <w:rsid w:val="006D24CB"/>
    <w:rsid w:val="006D27A6"/>
    <w:rsid w:val="006D2A78"/>
    <w:rsid w:val="006D3321"/>
    <w:rsid w:val="006D3EE7"/>
    <w:rsid w:val="006D45C3"/>
    <w:rsid w:val="006D5367"/>
    <w:rsid w:val="006D6688"/>
    <w:rsid w:val="006D6960"/>
    <w:rsid w:val="006D72EA"/>
    <w:rsid w:val="006E0837"/>
    <w:rsid w:val="006E0FF9"/>
    <w:rsid w:val="006E101D"/>
    <w:rsid w:val="006E187B"/>
    <w:rsid w:val="006E1948"/>
    <w:rsid w:val="006E1BBA"/>
    <w:rsid w:val="006E3FEB"/>
    <w:rsid w:val="006E596D"/>
    <w:rsid w:val="006E6DD7"/>
    <w:rsid w:val="006E6F8C"/>
    <w:rsid w:val="006E76BE"/>
    <w:rsid w:val="006E77BC"/>
    <w:rsid w:val="006F05AE"/>
    <w:rsid w:val="006F0918"/>
    <w:rsid w:val="006F2847"/>
    <w:rsid w:val="006F328E"/>
    <w:rsid w:val="006F56A2"/>
    <w:rsid w:val="006F56EF"/>
    <w:rsid w:val="006F6949"/>
    <w:rsid w:val="006F6E04"/>
    <w:rsid w:val="00704550"/>
    <w:rsid w:val="00704E07"/>
    <w:rsid w:val="0070538A"/>
    <w:rsid w:val="00705AD6"/>
    <w:rsid w:val="00710813"/>
    <w:rsid w:val="00711767"/>
    <w:rsid w:val="00711D01"/>
    <w:rsid w:val="00714151"/>
    <w:rsid w:val="007148E2"/>
    <w:rsid w:val="007160F2"/>
    <w:rsid w:val="00717216"/>
    <w:rsid w:val="00717F50"/>
    <w:rsid w:val="00721E80"/>
    <w:rsid w:val="00722F56"/>
    <w:rsid w:val="00723621"/>
    <w:rsid w:val="007238B2"/>
    <w:rsid w:val="00725673"/>
    <w:rsid w:val="00725780"/>
    <w:rsid w:val="00727459"/>
    <w:rsid w:val="00730CD1"/>
    <w:rsid w:val="0073184E"/>
    <w:rsid w:val="007343B8"/>
    <w:rsid w:val="00734C96"/>
    <w:rsid w:val="0073612B"/>
    <w:rsid w:val="00736715"/>
    <w:rsid w:val="007409A3"/>
    <w:rsid w:val="00743759"/>
    <w:rsid w:val="00743EE7"/>
    <w:rsid w:val="0074448F"/>
    <w:rsid w:val="0074782E"/>
    <w:rsid w:val="007479D8"/>
    <w:rsid w:val="00747AAA"/>
    <w:rsid w:val="00750186"/>
    <w:rsid w:val="00750CD1"/>
    <w:rsid w:val="00750EBA"/>
    <w:rsid w:val="007514F1"/>
    <w:rsid w:val="00751912"/>
    <w:rsid w:val="00751A51"/>
    <w:rsid w:val="00752D9F"/>
    <w:rsid w:val="00753496"/>
    <w:rsid w:val="007534FC"/>
    <w:rsid w:val="00754A97"/>
    <w:rsid w:val="00754BE0"/>
    <w:rsid w:val="007579CA"/>
    <w:rsid w:val="00757F13"/>
    <w:rsid w:val="007600FA"/>
    <w:rsid w:val="00760504"/>
    <w:rsid w:val="0076093D"/>
    <w:rsid w:val="00761DA0"/>
    <w:rsid w:val="00761FE1"/>
    <w:rsid w:val="007622D7"/>
    <w:rsid w:val="007634F7"/>
    <w:rsid w:val="007679F0"/>
    <w:rsid w:val="007714BA"/>
    <w:rsid w:val="00771FFD"/>
    <w:rsid w:val="00773E03"/>
    <w:rsid w:val="00773EF7"/>
    <w:rsid w:val="007746F0"/>
    <w:rsid w:val="00774908"/>
    <w:rsid w:val="00774D7B"/>
    <w:rsid w:val="007750DA"/>
    <w:rsid w:val="00776B7F"/>
    <w:rsid w:val="0077769A"/>
    <w:rsid w:val="00777B7D"/>
    <w:rsid w:val="00781265"/>
    <w:rsid w:val="007825F2"/>
    <w:rsid w:val="00783811"/>
    <w:rsid w:val="0078457A"/>
    <w:rsid w:val="00784A3C"/>
    <w:rsid w:val="00787D7A"/>
    <w:rsid w:val="00790452"/>
    <w:rsid w:val="00790C39"/>
    <w:rsid w:val="00791289"/>
    <w:rsid w:val="00791629"/>
    <w:rsid w:val="0079348C"/>
    <w:rsid w:val="0079357F"/>
    <w:rsid w:val="00793BB9"/>
    <w:rsid w:val="00793BD7"/>
    <w:rsid w:val="00794144"/>
    <w:rsid w:val="0079466D"/>
    <w:rsid w:val="007955A3"/>
    <w:rsid w:val="00796AF7"/>
    <w:rsid w:val="00797135"/>
    <w:rsid w:val="007A4195"/>
    <w:rsid w:val="007A6E4D"/>
    <w:rsid w:val="007B2102"/>
    <w:rsid w:val="007B25F9"/>
    <w:rsid w:val="007B28D8"/>
    <w:rsid w:val="007B6520"/>
    <w:rsid w:val="007B6953"/>
    <w:rsid w:val="007B7784"/>
    <w:rsid w:val="007C081B"/>
    <w:rsid w:val="007C1094"/>
    <w:rsid w:val="007C21D9"/>
    <w:rsid w:val="007C3CD0"/>
    <w:rsid w:val="007C4BEF"/>
    <w:rsid w:val="007C6358"/>
    <w:rsid w:val="007C6868"/>
    <w:rsid w:val="007C7FE9"/>
    <w:rsid w:val="007D0E51"/>
    <w:rsid w:val="007D312F"/>
    <w:rsid w:val="007D3A6E"/>
    <w:rsid w:val="007D4EB7"/>
    <w:rsid w:val="007D5D6D"/>
    <w:rsid w:val="007D63C4"/>
    <w:rsid w:val="007D6DF5"/>
    <w:rsid w:val="007D6F47"/>
    <w:rsid w:val="007E013D"/>
    <w:rsid w:val="007E0665"/>
    <w:rsid w:val="007E0975"/>
    <w:rsid w:val="007E1993"/>
    <w:rsid w:val="007E36E4"/>
    <w:rsid w:val="007E4A65"/>
    <w:rsid w:val="007E5DDA"/>
    <w:rsid w:val="007E5E07"/>
    <w:rsid w:val="007E695A"/>
    <w:rsid w:val="007E7046"/>
    <w:rsid w:val="007F06D8"/>
    <w:rsid w:val="007F0822"/>
    <w:rsid w:val="007F0B84"/>
    <w:rsid w:val="007F0BD7"/>
    <w:rsid w:val="007F17CC"/>
    <w:rsid w:val="007F202B"/>
    <w:rsid w:val="007F2B0B"/>
    <w:rsid w:val="007F4A12"/>
    <w:rsid w:val="007F4C6C"/>
    <w:rsid w:val="007F53C0"/>
    <w:rsid w:val="007F61E3"/>
    <w:rsid w:val="007F7012"/>
    <w:rsid w:val="007F7099"/>
    <w:rsid w:val="007F7BF5"/>
    <w:rsid w:val="0080249A"/>
    <w:rsid w:val="008034BF"/>
    <w:rsid w:val="008064D8"/>
    <w:rsid w:val="00806A76"/>
    <w:rsid w:val="00813709"/>
    <w:rsid w:val="008139FB"/>
    <w:rsid w:val="008140E3"/>
    <w:rsid w:val="00814165"/>
    <w:rsid w:val="008146B1"/>
    <w:rsid w:val="0081543A"/>
    <w:rsid w:val="0081677D"/>
    <w:rsid w:val="00816E73"/>
    <w:rsid w:val="00821E83"/>
    <w:rsid w:val="008246C7"/>
    <w:rsid w:val="00830BD1"/>
    <w:rsid w:val="0083150F"/>
    <w:rsid w:val="00831D8A"/>
    <w:rsid w:val="00831FEE"/>
    <w:rsid w:val="008338F2"/>
    <w:rsid w:val="00841278"/>
    <w:rsid w:val="00842F24"/>
    <w:rsid w:val="0084316A"/>
    <w:rsid w:val="00846F4D"/>
    <w:rsid w:val="00847719"/>
    <w:rsid w:val="008513F6"/>
    <w:rsid w:val="00851D15"/>
    <w:rsid w:val="00852DFD"/>
    <w:rsid w:val="00856A94"/>
    <w:rsid w:val="008616B9"/>
    <w:rsid w:val="00861F32"/>
    <w:rsid w:val="00862992"/>
    <w:rsid w:val="008654CC"/>
    <w:rsid w:val="00865AE0"/>
    <w:rsid w:val="0086742D"/>
    <w:rsid w:val="00870DD9"/>
    <w:rsid w:val="00871104"/>
    <w:rsid w:val="00872159"/>
    <w:rsid w:val="00874B6F"/>
    <w:rsid w:val="008772FE"/>
    <w:rsid w:val="0088159C"/>
    <w:rsid w:val="0088211A"/>
    <w:rsid w:val="00883290"/>
    <w:rsid w:val="00884F56"/>
    <w:rsid w:val="008854F6"/>
    <w:rsid w:val="00886667"/>
    <w:rsid w:val="00886BC4"/>
    <w:rsid w:val="00890287"/>
    <w:rsid w:val="008904C4"/>
    <w:rsid w:val="00892264"/>
    <w:rsid w:val="00892BE9"/>
    <w:rsid w:val="00893C44"/>
    <w:rsid w:val="00893CA0"/>
    <w:rsid w:val="00894EDD"/>
    <w:rsid w:val="00895536"/>
    <w:rsid w:val="00896CBE"/>
    <w:rsid w:val="008972E4"/>
    <w:rsid w:val="008A02F3"/>
    <w:rsid w:val="008A1972"/>
    <w:rsid w:val="008A197B"/>
    <w:rsid w:val="008A1C1D"/>
    <w:rsid w:val="008A20D0"/>
    <w:rsid w:val="008A48CA"/>
    <w:rsid w:val="008A59E2"/>
    <w:rsid w:val="008A6D9D"/>
    <w:rsid w:val="008B27CF"/>
    <w:rsid w:val="008B2938"/>
    <w:rsid w:val="008B395C"/>
    <w:rsid w:val="008B3B8F"/>
    <w:rsid w:val="008B76A1"/>
    <w:rsid w:val="008C00F6"/>
    <w:rsid w:val="008C05F2"/>
    <w:rsid w:val="008C260D"/>
    <w:rsid w:val="008C2DD2"/>
    <w:rsid w:val="008C48EB"/>
    <w:rsid w:val="008C4D93"/>
    <w:rsid w:val="008C5773"/>
    <w:rsid w:val="008C76D6"/>
    <w:rsid w:val="008C7F35"/>
    <w:rsid w:val="008D07F1"/>
    <w:rsid w:val="008D0CA6"/>
    <w:rsid w:val="008D3E45"/>
    <w:rsid w:val="008D451E"/>
    <w:rsid w:val="008D4CD0"/>
    <w:rsid w:val="008D5358"/>
    <w:rsid w:val="008D7BFA"/>
    <w:rsid w:val="008E0180"/>
    <w:rsid w:val="008E04BD"/>
    <w:rsid w:val="008E070E"/>
    <w:rsid w:val="008E0F6B"/>
    <w:rsid w:val="008E20DD"/>
    <w:rsid w:val="008E2512"/>
    <w:rsid w:val="008E2989"/>
    <w:rsid w:val="008E35A5"/>
    <w:rsid w:val="008E4E3F"/>
    <w:rsid w:val="008E579A"/>
    <w:rsid w:val="008E7297"/>
    <w:rsid w:val="008E7486"/>
    <w:rsid w:val="008E79E3"/>
    <w:rsid w:val="008F0B15"/>
    <w:rsid w:val="008F1AA6"/>
    <w:rsid w:val="008F1B23"/>
    <w:rsid w:val="008F1C02"/>
    <w:rsid w:val="008F2212"/>
    <w:rsid w:val="008F2683"/>
    <w:rsid w:val="008F360F"/>
    <w:rsid w:val="008F3896"/>
    <w:rsid w:val="008F5D59"/>
    <w:rsid w:val="008F67CA"/>
    <w:rsid w:val="008F6E85"/>
    <w:rsid w:val="008F72C1"/>
    <w:rsid w:val="008F73C8"/>
    <w:rsid w:val="008F75DD"/>
    <w:rsid w:val="008F7E69"/>
    <w:rsid w:val="00901B2E"/>
    <w:rsid w:val="009033E7"/>
    <w:rsid w:val="00903786"/>
    <w:rsid w:val="00903AB2"/>
    <w:rsid w:val="00903EBD"/>
    <w:rsid w:val="00905F29"/>
    <w:rsid w:val="00906387"/>
    <w:rsid w:val="00906B50"/>
    <w:rsid w:val="0090719E"/>
    <w:rsid w:val="0090789A"/>
    <w:rsid w:val="00907C82"/>
    <w:rsid w:val="00907E40"/>
    <w:rsid w:val="00910709"/>
    <w:rsid w:val="009109AA"/>
    <w:rsid w:val="0091500E"/>
    <w:rsid w:val="00917752"/>
    <w:rsid w:val="009202F4"/>
    <w:rsid w:val="00920FE7"/>
    <w:rsid w:val="00921E32"/>
    <w:rsid w:val="0092321C"/>
    <w:rsid w:val="0092533B"/>
    <w:rsid w:val="00926879"/>
    <w:rsid w:val="009274C0"/>
    <w:rsid w:val="00933C8C"/>
    <w:rsid w:val="009367F6"/>
    <w:rsid w:val="0093741D"/>
    <w:rsid w:val="00940406"/>
    <w:rsid w:val="00941EDA"/>
    <w:rsid w:val="00942371"/>
    <w:rsid w:val="00942CB3"/>
    <w:rsid w:val="00944174"/>
    <w:rsid w:val="009508C4"/>
    <w:rsid w:val="00951652"/>
    <w:rsid w:val="009519D5"/>
    <w:rsid w:val="00952F2F"/>
    <w:rsid w:val="00954CBD"/>
    <w:rsid w:val="009564E0"/>
    <w:rsid w:val="00956DFA"/>
    <w:rsid w:val="009574E5"/>
    <w:rsid w:val="009617B5"/>
    <w:rsid w:val="00962BEE"/>
    <w:rsid w:val="00965C4B"/>
    <w:rsid w:val="00972320"/>
    <w:rsid w:val="009757BB"/>
    <w:rsid w:val="00976D37"/>
    <w:rsid w:val="00977AF2"/>
    <w:rsid w:val="0098151F"/>
    <w:rsid w:val="0098176C"/>
    <w:rsid w:val="0098213D"/>
    <w:rsid w:val="00982BB6"/>
    <w:rsid w:val="00983A5A"/>
    <w:rsid w:val="00983F14"/>
    <w:rsid w:val="00983FBA"/>
    <w:rsid w:val="00984D67"/>
    <w:rsid w:val="00984F50"/>
    <w:rsid w:val="00986A46"/>
    <w:rsid w:val="009906A6"/>
    <w:rsid w:val="009926E2"/>
    <w:rsid w:val="00992ADC"/>
    <w:rsid w:val="00992C2A"/>
    <w:rsid w:val="00993616"/>
    <w:rsid w:val="009952DF"/>
    <w:rsid w:val="0099666A"/>
    <w:rsid w:val="009978CC"/>
    <w:rsid w:val="009A34CE"/>
    <w:rsid w:val="009A6D32"/>
    <w:rsid w:val="009A6FA9"/>
    <w:rsid w:val="009A71C4"/>
    <w:rsid w:val="009A7746"/>
    <w:rsid w:val="009B0B1B"/>
    <w:rsid w:val="009B15EC"/>
    <w:rsid w:val="009B1781"/>
    <w:rsid w:val="009B1911"/>
    <w:rsid w:val="009B2546"/>
    <w:rsid w:val="009B333E"/>
    <w:rsid w:val="009B35A2"/>
    <w:rsid w:val="009B3D50"/>
    <w:rsid w:val="009B464D"/>
    <w:rsid w:val="009B6833"/>
    <w:rsid w:val="009B7A2A"/>
    <w:rsid w:val="009C05F1"/>
    <w:rsid w:val="009C1F90"/>
    <w:rsid w:val="009C2696"/>
    <w:rsid w:val="009C2B56"/>
    <w:rsid w:val="009C2C79"/>
    <w:rsid w:val="009C3030"/>
    <w:rsid w:val="009C5044"/>
    <w:rsid w:val="009C57E8"/>
    <w:rsid w:val="009C589B"/>
    <w:rsid w:val="009C5B68"/>
    <w:rsid w:val="009C66A3"/>
    <w:rsid w:val="009D073D"/>
    <w:rsid w:val="009D09DC"/>
    <w:rsid w:val="009D104D"/>
    <w:rsid w:val="009D2E46"/>
    <w:rsid w:val="009D3799"/>
    <w:rsid w:val="009D616A"/>
    <w:rsid w:val="009D70C6"/>
    <w:rsid w:val="009D7F51"/>
    <w:rsid w:val="009E0509"/>
    <w:rsid w:val="009E08E2"/>
    <w:rsid w:val="009E0AE2"/>
    <w:rsid w:val="009E6061"/>
    <w:rsid w:val="009E68BE"/>
    <w:rsid w:val="009E6985"/>
    <w:rsid w:val="009E6A28"/>
    <w:rsid w:val="009F0869"/>
    <w:rsid w:val="009F193E"/>
    <w:rsid w:val="009F20CF"/>
    <w:rsid w:val="009F436D"/>
    <w:rsid w:val="009F4A66"/>
    <w:rsid w:val="009F73A6"/>
    <w:rsid w:val="00A01086"/>
    <w:rsid w:val="00A01F0B"/>
    <w:rsid w:val="00A02038"/>
    <w:rsid w:val="00A0239B"/>
    <w:rsid w:val="00A02E6B"/>
    <w:rsid w:val="00A03ADC"/>
    <w:rsid w:val="00A04307"/>
    <w:rsid w:val="00A05E57"/>
    <w:rsid w:val="00A0647D"/>
    <w:rsid w:val="00A06D07"/>
    <w:rsid w:val="00A07A90"/>
    <w:rsid w:val="00A1120D"/>
    <w:rsid w:val="00A12DA3"/>
    <w:rsid w:val="00A13CB3"/>
    <w:rsid w:val="00A13F0D"/>
    <w:rsid w:val="00A155DA"/>
    <w:rsid w:val="00A15DB7"/>
    <w:rsid w:val="00A16F5C"/>
    <w:rsid w:val="00A17503"/>
    <w:rsid w:val="00A176E3"/>
    <w:rsid w:val="00A215B3"/>
    <w:rsid w:val="00A221B4"/>
    <w:rsid w:val="00A2353A"/>
    <w:rsid w:val="00A24D20"/>
    <w:rsid w:val="00A25AE9"/>
    <w:rsid w:val="00A2755F"/>
    <w:rsid w:val="00A30614"/>
    <w:rsid w:val="00A31A53"/>
    <w:rsid w:val="00A32C4E"/>
    <w:rsid w:val="00A3452B"/>
    <w:rsid w:val="00A35E46"/>
    <w:rsid w:val="00A36B0A"/>
    <w:rsid w:val="00A41FB8"/>
    <w:rsid w:val="00A44A36"/>
    <w:rsid w:val="00A44FD2"/>
    <w:rsid w:val="00A456F2"/>
    <w:rsid w:val="00A461C0"/>
    <w:rsid w:val="00A46A9A"/>
    <w:rsid w:val="00A50111"/>
    <w:rsid w:val="00A50C87"/>
    <w:rsid w:val="00A5117C"/>
    <w:rsid w:val="00A52C22"/>
    <w:rsid w:val="00A5522E"/>
    <w:rsid w:val="00A555A8"/>
    <w:rsid w:val="00A567C0"/>
    <w:rsid w:val="00A60022"/>
    <w:rsid w:val="00A600C2"/>
    <w:rsid w:val="00A61A4B"/>
    <w:rsid w:val="00A6514E"/>
    <w:rsid w:val="00A65CAE"/>
    <w:rsid w:val="00A669C9"/>
    <w:rsid w:val="00A66F81"/>
    <w:rsid w:val="00A701C3"/>
    <w:rsid w:val="00A70E68"/>
    <w:rsid w:val="00A73566"/>
    <w:rsid w:val="00A74BDE"/>
    <w:rsid w:val="00A76319"/>
    <w:rsid w:val="00A766D7"/>
    <w:rsid w:val="00A7688C"/>
    <w:rsid w:val="00A770E9"/>
    <w:rsid w:val="00A7733B"/>
    <w:rsid w:val="00A81313"/>
    <w:rsid w:val="00A82133"/>
    <w:rsid w:val="00A829E3"/>
    <w:rsid w:val="00A83984"/>
    <w:rsid w:val="00A83C0C"/>
    <w:rsid w:val="00A83FDF"/>
    <w:rsid w:val="00A8449C"/>
    <w:rsid w:val="00A84C3C"/>
    <w:rsid w:val="00A858F6"/>
    <w:rsid w:val="00A87F4B"/>
    <w:rsid w:val="00A90788"/>
    <w:rsid w:val="00A909A3"/>
    <w:rsid w:val="00A91BD2"/>
    <w:rsid w:val="00A940BE"/>
    <w:rsid w:val="00A94930"/>
    <w:rsid w:val="00A9584F"/>
    <w:rsid w:val="00A96316"/>
    <w:rsid w:val="00A9658A"/>
    <w:rsid w:val="00A970ED"/>
    <w:rsid w:val="00AA3EB1"/>
    <w:rsid w:val="00AA553F"/>
    <w:rsid w:val="00AA7DB0"/>
    <w:rsid w:val="00AB02F5"/>
    <w:rsid w:val="00AB31C0"/>
    <w:rsid w:val="00AB36C4"/>
    <w:rsid w:val="00AB3B67"/>
    <w:rsid w:val="00AB3D33"/>
    <w:rsid w:val="00AB6299"/>
    <w:rsid w:val="00AB6859"/>
    <w:rsid w:val="00AC0B87"/>
    <w:rsid w:val="00AC16D5"/>
    <w:rsid w:val="00AC1B27"/>
    <w:rsid w:val="00AC2BE3"/>
    <w:rsid w:val="00AC4C62"/>
    <w:rsid w:val="00AC60D4"/>
    <w:rsid w:val="00AC6B59"/>
    <w:rsid w:val="00AC7E85"/>
    <w:rsid w:val="00AD20D7"/>
    <w:rsid w:val="00AD29A2"/>
    <w:rsid w:val="00AD396B"/>
    <w:rsid w:val="00AD6534"/>
    <w:rsid w:val="00AE0387"/>
    <w:rsid w:val="00AE1B9E"/>
    <w:rsid w:val="00AE39EE"/>
    <w:rsid w:val="00AE53E5"/>
    <w:rsid w:val="00AE57AA"/>
    <w:rsid w:val="00AE679C"/>
    <w:rsid w:val="00AF0FFF"/>
    <w:rsid w:val="00AF143C"/>
    <w:rsid w:val="00AF1D42"/>
    <w:rsid w:val="00AF3930"/>
    <w:rsid w:val="00AF48F3"/>
    <w:rsid w:val="00AF5B57"/>
    <w:rsid w:val="00AF5F7E"/>
    <w:rsid w:val="00AF6479"/>
    <w:rsid w:val="00AF74F7"/>
    <w:rsid w:val="00B00CD8"/>
    <w:rsid w:val="00B01540"/>
    <w:rsid w:val="00B01CFA"/>
    <w:rsid w:val="00B027BD"/>
    <w:rsid w:val="00B0324D"/>
    <w:rsid w:val="00B03749"/>
    <w:rsid w:val="00B04038"/>
    <w:rsid w:val="00B05507"/>
    <w:rsid w:val="00B103CD"/>
    <w:rsid w:val="00B10B05"/>
    <w:rsid w:val="00B10ED4"/>
    <w:rsid w:val="00B11398"/>
    <w:rsid w:val="00B11BA5"/>
    <w:rsid w:val="00B12063"/>
    <w:rsid w:val="00B129C3"/>
    <w:rsid w:val="00B1329E"/>
    <w:rsid w:val="00B15B56"/>
    <w:rsid w:val="00B172E5"/>
    <w:rsid w:val="00B205D1"/>
    <w:rsid w:val="00B22704"/>
    <w:rsid w:val="00B2375B"/>
    <w:rsid w:val="00B24C1C"/>
    <w:rsid w:val="00B2646A"/>
    <w:rsid w:val="00B27145"/>
    <w:rsid w:val="00B30D2A"/>
    <w:rsid w:val="00B313C2"/>
    <w:rsid w:val="00B31BF8"/>
    <w:rsid w:val="00B31CFC"/>
    <w:rsid w:val="00B32830"/>
    <w:rsid w:val="00B36086"/>
    <w:rsid w:val="00B36DE8"/>
    <w:rsid w:val="00B3768C"/>
    <w:rsid w:val="00B40CE7"/>
    <w:rsid w:val="00B4206C"/>
    <w:rsid w:val="00B42FAF"/>
    <w:rsid w:val="00B43C58"/>
    <w:rsid w:val="00B4459E"/>
    <w:rsid w:val="00B45041"/>
    <w:rsid w:val="00B45AFC"/>
    <w:rsid w:val="00B45EE3"/>
    <w:rsid w:val="00B47BF8"/>
    <w:rsid w:val="00B5049F"/>
    <w:rsid w:val="00B50B30"/>
    <w:rsid w:val="00B50FEA"/>
    <w:rsid w:val="00B51175"/>
    <w:rsid w:val="00B51F25"/>
    <w:rsid w:val="00B52221"/>
    <w:rsid w:val="00B5397C"/>
    <w:rsid w:val="00B54D77"/>
    <w:rsid w:val="00B54DD4"/>
    <w:rsid w:val="00B54FA9"/>
    <w:rsid w:val="00B57B0B"/>
    <w:rsid w:val="00B61C2B"/>
    <w:rsid w:val="00B64308"/>
    <w:rsid w:val="00B657FE"/>
    <w:rsid w:val="00B7119F"/>
    <w:rsid w:val="00B713A1"/>
    <w:rsid w:val="00B71F74"/>
    <w:rsid w:val="00B7296B"/>
    <w:rsid w:val="00B7362B"/>
    <w:rsid w:val="00B73C23"/>
    <w:rsid w:val="00B750FE"/>
    <w:rsid w:val="00B76B8E"/>
    <w:rsid w:val="00B76CED"/>
    <w:rsid w:val="00B771FF"/>
    <w:rsid w:val="00B82C45"/>
    <w:rsid w:val="00B82CA0"/>
    <w:rsid w:val="00B839DF"/>
    <w:rsid w:val="00B8656A"/>
    <w:rsid w:val="00B928AF"/>
    <w:rsid w:val="00B93429"/>
    <w:rsid w:val="00B93858"/>
    <w:rsid w:val="00B955B0"/>
    <w:rsid w:val="00B95F3B"/>
    <w:rsid w:val="00B96723"/>
    <w:rsid w:val="00BA054F"/>
    <w:rsid w:val="00BA0C1C"/>
    <w:rsid w:val="00BA123B"/>
    <w:rsid w:val="00BA3721"/>
    <w:rsid w:val="00BA44F2"/>
    <w:rsid w:val="00BA7802"/>
    <w:rsid w:val="00BA785B"/>
    <w:rsid w:val="00BB02B2"/>
    <w:rsid w:val="00BB059B"/>
    <w:rsid w:val="00BB2FA6"/>
    <w:rsid w:val="00BB33DA"/>
    <w:rsid w:val="00BB3DEA"/>
    <w:rsid w:val="00BB4B21"/>
    <w:rsid w:val="00BB50C4"/>
    <w:rsid w:val="00BB5ED0"/>
    <w:rsid w:val="00BB636F"/>
    <w:rsid w:val="00BC3C59"/>
    <w:rsid w:val="00BC41EB"/>
    <w:rsid w:val="00BC46BA"/>
    <w:rsid w:val="00BC6640"/>
    <w:rsid w:val="00BD3C26"/>
    <w:rsid w:val="00BD4D41"/>
    <w:rsid w:val="00BD5A56"/>
    <w:rsid w:val="00BD7EA0"/>
    <w:rsid w:val="00BE0381"/>
    <w:rsid w:val="00BE1894"/>
    <w:rsid w:val="00BE2210"/>
    <w:rsid w:val="00BE4227"/>
    <w:rsid w:val="00BE5AC7"/>
    <w:rsid w:val="00BE6E3D"/>
    <w:rsid w:val="00BF3E58"/>
    <w:rsid w:val="00BF4A8E"/>
    <w:rsid w:val="00BF54E3"/>
    <w:rsid w:val="00BF552E"/>
    <w:rsid w:val="00BF73E4"/>
    <w:rsid w:val="00BF75D8"/>
    <w:rsid w:val="00C01075"/>
    <w:rsid w:val="00C0385A"/>
    <w:rsid w:val="00C03EDB"/>
    <w:rsid w:val="00C04BB8"/>
    <w:rsid w:val="00C04F73"/>
    <w:rsid w:val="00C0628D"/>
    <w:rsid w:val="00C12F31"/>
    <w:rsid w:val="00C13165"/>
    <w:rsid w:val="00C163F3"/>
    <w:rsid w:val="00C20CC3"/>
    <w:rsid w:val="00C23C8C"/>
    <w:rsid w:val="00C24633"/>
    <w:rsid w:val="00C2562B"/>
    <w:rsid w:val="00C25F7E"/>
    <w:rsid w:val="00C3042D"/>
    <w:rsid w:val="00C32D82"/>
    <w:rsid w:val="00C33E47"/>
    <w:rsid w:val="00C34EB0"/>
    <w:rsid w:val="00C3515B"/>
    <w:rsid w:val="00C362B7"/>
    <w:rsid w:val="00C3693F"/>
    <w:rsid w:val="00C37A6A"/>
    <w:rsid w:val="00C41228"/>
    <w:rsid w:val="00C42CA6"/>
    <w:rsid w:val="00C435A1"/>
    <w:rsid w:val="00C436B8"/>
    <w:rsid w:val="00C443D7"/>
    <w:rsid w:val="00C44D25"/>
    <w:rsid w:val="00C44DDA"/>
    <w:rsid w:val="00C466DC"/>
    <w:rsid w:val="00C5232C"/>
    <w:rsid w:val="00C52E8E"/>
    <w:rsid w:val="00C5360E"/>
    <w:rsid w:val="00C538BC"/>
    <w:rsid w:val="00C53972"/>
    <w:rsid w:val="00C54089"/>
    <w:rsid w:val="00C55235"/>
    <w:rsid w:val="00C557CC"/>
    <w:rsid w:val="00C55867"/>
    <w:rsid w:val="00C5774C"/>
    <w:rsid w:val="00C61335"/>
    <w:rsid w:val="00C614EC"/>
    <w:rsid w:val="00C6209A"/>
    <w:rsid w:val="00C620FD"/>
    <w:rsid w:val="00C63573"/>
    <w:rsid w:val="00C639E4"/>
    <w:rsid w:val="00C63CFF"/>
    <w:rsid w:val="00C660DA"/>
    <w:rsid w:val="00C666EB"/>
    <w:rsid w:val="00C67F83"/>
    <w:rsid w:val="00C71CED"/>
    <w:rsid w:val="00C74970"/>
    <w:rsid w:val="00C77457"/>
    <w:rsid w:val="00C778C6"/>
    <w:rsid w:val="00C80C62"/>
    <w:rsid w:val="00C8202D"/>
    <w:rsid w:val="00C82A8A"/>
    <w:rsid w:val="00C831BC"/>
    <w:rsid w:val="00C84C68"/>
    <w:rsid w:val="00C8634C"/>
    <w:rsid w:val="00C87619"/>
    <w:rsid w:val="00C9049A"/>
    <w:rsid w:val="00C914F5"/>
    <w:rsid w:val="00C9240F"/>
    <w:rsid w:val="00C9420E"/>
    <w:rsid w:val="00C952F5"/>
    <w:rsid w:val="00C97BC0"/>
    <w:rsid w:val="00CA168B"/>
    <w:rsid w:val="00CA23CE"/>
    <w:rsid w:val="00CA29D2"/>
    <w:rsid w:val="00CA3898"/>
    <w:rsid w:val="00CA4155"/>
    <w:rsid w:val="00CA4508"/>
    <w:rsid w:val="00CA4694"/>
    <w:rsid w:val="00CA4E08"/>
    <w:rsid w:val="00CA5970"/>
    <w:rsid w:val="00CA6E10"/>
    <w:rsid w:val="00CB032B"/>
    <w:rsid w:val="00CB0554"/>
    <w:rsid w:val="00CB2EE1"/>
    <w:rsid w:val="00CB3333"/>
    <w:rsid w:val="00CB4648"/>
    <w:rsid w:val="00CB5A9A"/>
    <w:rsid w:val="00CB72D5"/>
    <w:rsid w:val="00CC1136"/>
    <w:rsid w:val="00CC1386"/>
    <w:rsid w:val="00CC2938"/>
    <w:rsid w:val="00CC2E0E"/>
    <w:rsid w:val="00CC2F42"/>
    <w:rsid w:val="00CC3AF4"/>
    <w:rsid w:val="00CC4B8F"/>
    <w:rsid w:val="00CC5606"/>
    <w:rsid w:val="00CC5C42"/>
    <w:rsid w:val="00CC5C64"/>
    <w:rsid w:val="00CC67BE"/>
    <w:rsid w:val="00CD02A5"/>
    <w:rsid w:val="00CD1E82"/>
    <w:rsid w:val="00CD52EF"/>
    <w:rsid w:val="00CD743E"/>
    <w:rsid w:val="00CD760F"/>
    <w:rsid w:val="00CD7F0B"/>
    <w:rsid w:val="00CE10C5"/>
    <w:rsid w:val="00CE2E2A"/>
    <w:rsid w:val="00CE3250"/>
    <w:rsid w:val="00CE55F7"/>
    <w:rsid w:val="00CE60AB"/>
    <w:rsid w:val="00CE744D"/>
    <w:rsid w:val="00CE780D"/>
    <w:rsid w:val="00CF0356"/>
    <w:rsid w:val="00CF055E"/>
    <w:rsid w:val="00CF136D"/>
    <w:rsid w:val="00CF1EA3"/>
    <w:rsid w:val="00CF53BB"/>
    <w:rsid w:val="00CF5A2D"/>
    <w:rsid w:val="00CF5B3F"/>
    <w:rsid w:val="00CF6BB8"/>
    <w:rsid w:val="00CF7493"/>
    <w:rsid w:val="00D0239A"/>
    <w:rsid w:val="00D027D9"/>
    <w:rsid w:val="00D033E4"/>
    <w:rsid w:val="00D03435"/>
    <w:rsid w:val="00D03AC7"/>
    <w:rsid w:val="00D044DC"/>
    <w:rsid w:val="00D05A02"/>
    <w:rsid w:val="00D06512"/>
    <w:rsid w:val="00D0725D"/>
    <w:rsid w:val="00D103D0"/>
    <w:rsid w:val="00D10942"/>
    <w:rsid w:val="00D10F75"/>
    <w:rsid w:val="00D11F38"/>
    <w:rsid w:val="00D11F49"/>
    <w:rsid w:val="00D127D3"/>
    <w:rsid w:val="00D13163"/>
    <w:rsid w:val="00D14B29"/>
    <w:rsid w:val="00D166A6"/>
    <w:rsid w:val="00D17467"/>
    <w:rsid w:val="00D17B76"/>
    <w:rsid w:val="00D2005E"/>
    <w:rsid w:val="00D2150F"/>
    <w:rsid w:val="00D215DF"/>
    <w:rsid w:val="00D2174D"/>
    <w:rsid w:val="00D21BBE"/>
    <w:rsid w:val="00D229F1"/>
    <w:rsid w:val="00D24029"/>
    <w:rsid w:val="00D24945"/>
    <w:rsid w:val="00D26D09"/>
    <w:rsid w:val="00D27990"/>
    <w:rsid w:val="00D3039A"/>
    <w:rsid w:val="00D30460"/>
    <w:rsid w:val="00D3054E"/>
    <w:rsid w:val="00D33C7B"/>
    <w:rsid w:val="00D33D80"/>
    <w:rsid w:val="00D33E3B"/>
    <w:rsid w:val="00D35465"/>
    <w:rsid w:val="00D369E6"/>
    <w:rsid w:val="00D36FD6"/>
    <w:rsid w:val="00D3722D"/>
    <w:rsid w:val="00D401E4"/>
    <w:rsid w:val="00D40417"/>
    <w:rsid w:val="00D40A72"/>
    <w:rsid w:val="00D40B85"/>
    <w:rsid w:val="00D40F2A"/>
    <w:rsid w:val="00D435A9"/>
    <w:rsid w:val="00D4508C"/>
    <w:rsid w:val="00D46F77"/>
    <w:rsid w:val="00D47149"/>
    <w:rsid w:val="00D47C1F"/>
    <w:rsid w:val="00D5245C"/>
    <w:rsid w:val="00D535AC"/>
    <w:rsid w:val="00D538E4"/>
    <w:rsid w:val="00D540B5"/>
    <w:rsid w:val="00D555C7"/>
    <w:rsid w:val="00D55AB4"/>
    <w:rsid w:val="00D566F4"/>
    <w:rsid w:val="00D60011"/>
    <w:rsid w:val="00D60855"/>
    <w:rsid w:val="00D60C44"/>
    <w:rsid w:val="00D61D76"/>
    <w:rsid w:val="00D621F5"/>
    <w:rsid w:val="00D63B84"/>
    <w:rsid w:val="00D6459A"/>
    <w:rsid w:val="00D6596E"/>
    <w:rsid w:val="00D71703"/>
    <w:rsid w:val="00D72213"/>
    <w:rsid w:val="00D765D6"/>
    <w:rsid w:val="00D81F86"/>
    <w:rsid w:val="00D82058"/>
    <w:rsid w:val="00D821BD"/>
    <w:rsid w:val="00D835D3"/>
    <w:rsid w:val="00D83690"/>
    <w:rsid w:val="00D85C17"/>
    <w:rsid w:val="00D866FA"/>
    <w:rsid w:val="00D87149"/>
    <w:rsid w:val="00D8729B"/>
    <w:rsid w:val="00D91FE2"/>
    <w:rsid w:val="00D92FEA"/>
    <w:rsid w:val="00D935A5"/>
    <w:rsid w:val="00D95489"/>
    <w:rsid w:val="00D96091"/>
    <w:rsid w:val="00DA0D44"/>
    <w:rsid w:val="00DA12EA"/>
    <w:rsid w:val="00DA3159"/>
    <w:rsid w:val="00DA77DB"/>
    <w:rsid w:val="00DB03CA"/>
    <w:rsid w:val="00DB0F8A"/>
    <w:rsid w:val="00DB18B8"/>
    <w:rsid w:val="00DB3483"/>
    <w:rsid w:val="00DB3EA7"/>
    <w:rsid w:val="00DB5254"/>
    <w:rsid w:val="00DB6645"/>
    <w:rsid w:val="00DB6940"/>
    <w:rsid w:val="00DC011F"/>
    <w:rsid w:val="00DC075C"/>
    <w:rsid w:val="00DC1FCF"/>
    <w:rsid w:val="00DC23D1"/>
    <w:rsid w:val="00DC6FBB"/>
    <w:rsid w:val="00DC7376"/>
    <w:rsid w:val="00DD24DE"/>
    <w:rsid w:val="00DD2CBD"/>
    <w:rsid w:val="00DD4956"/>
    <w:rsid w:val="00DD4D47"/>
    <w:rsid w:val="00DD5118"/>
    <w:rsid w:val="00DD5D38"/>
    <w:rsid w:val="00DE05FE"/>
    <w:rsid w:val="00DE2882"/>
    <w:rsid w:val="00DE3379"/>
    <w:rsid w:val="00DE35FE"/>
    <w:rsid w:val="00DE36EF"/>
    <w:rsid w:val="00DE4A84"/>
    <w:rsid w:val="00DE5EE8"/>
    <w:rsid w:val="00DE5FD3"/>
    <w:rsid w:val="00DE74EC"/>
    <w:rsid w:val="00DF0B01"/>
    <w:rsid w:val="00DF1753"/>
    <w:rsid w:val="00DF1BBE"/>
    <w:rsid w:val="00DF268E"/>
    <w:rsid w:val="00DF29C7"/>
    <w:rsid w:val="00DF353C"/>
    <w:rsid w:val="00DF3B97"/>
    <w:rsid w:val="00DF56B6"/>
    <w:rsid w:val="00DF58AF"/>
    <w:rsid w:val="00DF5A46"/>
    <w:rsid w:val="00DF65E4"/>
    <w:rsid w:val="00DF6826"/>
    <w:rsid w:val="00E00952"/>
    <w:rsid w:val="00E010D8"/>
    <w:rsid w:val="00E015F1"/>
    <w:rsid w:val="00E01BC1"/>
    <w:rsid w:val="00E02A44"/>
    <w:rsid w:val="00E05832"/>
    <w:rsid w:val="00E10B5B"/>
    <w:rsid w:val="00E11105"/>
    <w:rsid w:val="00E130A5"/>
    <w:rsid w:val="00E14429"/>
    <w:rsid w:val="00E16939"/>
    <w:rsid w:val="00E1766A"/>
    <w:rsid w:val="00E200A2"/>
    <w:rsid w:val="00E267E6"/>
    <w:rsid w:val="00E305C4"/>
    <w:rsid w:val="00E31E65"/>
    <w:rsid w:val="00E32D09"/>
    <w:rsid w:val="00E34501"/>
    <w:rsid w:val="00E356C2"/>
    <w:rsid w:val="00E35B8F"/>
    <w:rsid w:val="00E36BA7"/>
    <w:rsid w:val="00E37209"/>
    <w:rsid w:val="00E40078"/>
    <w:rsid w:val="00E407D1"/>
    <w:rsid w:val="00E43804"/>
    <w:rsid w:val="00E43BDD"/>
    <w:rsid w:val="00E4461B"/>
    <w:rsid w:val="00E44B15"/>
    <w:rsid w:val="00E4520C"/>
    <w:rsid w:val="00E458D1"/>
    <w:rsid w:val="00E46FC1"/>
    <w:rsid w:val="00E472A3"/>
    <w:rsid w:val="00E561EF"/>
    <w:rsid w:val="00E629DC"/>
    <w:rsid w:val="00E62B01"/>
    <w:rsid w:val="00E62B97"/>
    <w:rsid w:val="00E635E5"/>
    <w:rsid w:val="00E6377B"/>
    <w:rsid w:val="00E640D9"/>
    <w:rsid w:val="00E64B67"/>
    <w:rsid w:val="00E669CD"/>
    <w:rsid w:val="00E66FAB"/>
    <w:rsid w:val="00E67085"/>
    <w:rsid w:val="00E671D8"/>
    <w:rsid w:val="00E67EB4"/>
    <w:rsid w:val="00E70A2C"/>
    <w:rsid w:val="00E72F11"/>
    <w:rsid w:val="00E73433"/>
    <w:rsid w:val="00E7388F"/>
    <w:rsid w:val="00E74253"/>
    <w:rsid w:val="00E75520"/>
    <w:rsid w:val="00E75E88"/>
    <w:rsid w:val="00E76B0F"/>
    <w:rsid w:val="00E7785C"/>
    <w:rsid w:val="00E806BA"/>
    <w:rsid w:val="00E80FDB"/>
    <w:rsid w:val="00E811C1"/>
    <w:rsid w:val="00E81A92"/>
    <w:rsid w:val="00E8260F"/>
    <w:rsid w:val="00E83A1D"/>
    <w:rsid w:val="00E847A7"/>
    <w:rsid w:val="00E8567F"/>
    <w:rsid w:val="00E85FF2"/>
    <w:rsid w:val="00E86CBA"/>
    <w:rsid w:val="00E873BC"/>
    <w:rsid w:val="00E90E39"/>
    <w:rsid w:val="00E91A70"/>
    <w:rsid w:val="00E92E04"/>
    <w:rsid w:val="00E92E5A"/>
    <w:rsid w:val="00E93C25"/>
    <w:rsid w:val="00E96D16"/>
    <w:rsid w:val="00E96DBB"/>
    <w:rsid w:val="00E97371"/>
    <w:rsid w:val="00EA0D3C"/>
    <w:rsid w:val="00EA22FC"/>
    <w:rsid w:val="00EA3237"/>
    <w:rsid w:val="00EA4548"/>
    <w:rsid w:val="00EA4746"/>
    <w:rsid w:val="00EA5D8D"/>
    <w:rsid w:val="00EA660E"/>
    <w:rsid w:val="00EA6684"/>
    <w:rsid w:val="00EB13B0"/>
    <w:rsid w:val="00EB1557"/>
    <w:rsid w:val="00EB1F52"/>
    <w:rsid w:val="00EB41E0"/>
    <w:rsid w:val="00EB5463"/>
    <w:rsid w:val="00EB6017"/>
    <w:rsid w:val="00EB63F5"/>
    <w:rsid w:val="00EB7CAC"/>
    <w:rsid w:val="00EC26D7"/>
    <w:rsid w:val="00EC2A56"/>
    <w:rsid w:val="00EC3A52"/>
    <w:rsid w:val="00EC3DF3"/>
    <w:rsid w:val="00ED034C"/>
    <w:rsid w:val="00ED05AB"/>
    <w:rsid w:val="00ED134A"/>
    <w:rsid w:val="00ED3522"/>
    <w:rsid w:val="00ED3928"/>
    <w:rsid w:val="00ED3D98"/>
    <w:rsid w:val="00ED3DB9"/>
    <w:rsid w:val="00ED4901"/>
    <w:rsid w:val="00ED63A7"/>
    <w:rsid w:val="00EE0C2D"/>
    <w:rsid w:val="00EE15DC"/>
    <w:rsid w:val="00EE257D"/>
    <w:rsid w:val="00EE299F"/>
    <w:rsid w:val="00EE570F"/>
    <w:rsid w:val="00EE5F89"/>
    <w:rsid w:val="00EF11B6"/>
    <w:rsid w:val="00EF1B2D"/>
    <w:rsid w:val="00EF1FEA"/>
    <w:rsid w:val="00EF2429"/>
    <w:rsid w:val="00EF4CB9"/>
    <w:rsid w:val="00EF6D7B"/>
    <w:rsid w:val="00EF7C83"/>
    <w:rsid w:val="00F0196A"/>
    <w:rsid w:val="00F02F22"/>
    <w:rsid w:val="00F05F99"/>
    <w:rsid w:val="00F07B2D"/>
    <w:rsid w:val="00F10FCC"/>
    <w:rsid w:val="00F1110A"/>
    <w:rsid w:val="00F14E20"/>
    <w:rsid w:val="00F15711"/>
    <w:rsid w:val="00F159C6"/>
    <w:rsid w:val="00F163AD"/>
    <w:rsid w:val="00F172EE"/>
    <w:rsid w:val="00F21BED"/>
    <w:rsid w:val="00F22FC2"/>
    <w:rsid w:val="00F232AE"/>
    <w:rsid w:val="00F233F9"/>
    <w:rsid w:val="00F248B6"/>
    <w:rsid w:val="00F30893"/>
    <w:rsid w:val="00F31073"/>
    <w:rsid w:val="00F31637"/>
    <w:rsid w:val="00F317F3"/>
    <w:rsid w:val="00F319D0"/>
    <w:rsid w:val="00F322EA"/>
    <w:rsid w:val="00F332E3"/>
    <w:rsid w:val="00F33B9F"/>
    <w:rsid w:val="00F36272"/>
    <w:rsid w:val="00F36838"/>
    <w:rsid w:val="00F41932"/>
    <w:rsid w:val="00F434DE"/>
    <w:rsid w:val="00F44C22"/>
    <w:rsid w:val="00F45588"/>
    <w:rsid w:val="00F45E28"/>
    <w:rsid w:val="00F4711A"/>
    <w:rsid w:val="00F4789A"/>
    <w:rsid w:val="00F47B82"/>
    <w:rsid w:val="00F50FD8"/>
    <w:rsid w:val="00F51C00"/>
    <w:rsid w:val="00F51CFF"/>
    <w:rsid w:val="00F51FDE"/>
    <w:rsid w:val="00F534BC"/>
    <w:rsid w:val="00F544A0"/>
    <w:rsid w:val="00F56D9A"/>
    <w:rsid w:val="00F60566"/>
    <w:rsid w:val="00F61364"/>
    <w:rsid w:val="00F614C4"/>
    <w:rsid w:val="00F619CE"/>
    <w:rsid w:val="00F61E2F"/>
    <w:rsid w:val="00F636B5"/>
    <w:rsid w:val="00F6469A"/>
    <w:rsid w:val="00F646C5"/>
    <w:rsid w:val="00F6521B"/>
    <w:rsid w:val="00F66812"/>
    <w:rsid w:val="00F70A51"/>
    <w:rsid w:val="00F7256C"/>
    <w:rsid w:val="00F7323A"/>
    <w:rsid w:val="00F74823"/>
    <w:rsid w:val="00F75A59"/>
    <w:rsid w:val="00F7650A"/>
    <w:rsid w:val="00F77343"/>
    <w:rsid w:val="00F77C3C"/>
    <w:rsid w:val="00F83981"/>
    <w:rsid w:val="00F839E4"/>
    <w:rsid w:val="00F8520B"/>
    <w:rsid w:val="00F86505"/>
    <w:rsid w:val="00F8665D"/>
    <w:rsid w:val="00F90C02"/>
    <w:rsid w:val="00F95643"/>
    <w:rsid w:val="00F95DDF"/>
    <w:rsid w:val="00F96108"/>
    <w:rsid w:val="00F97634"/>
    <w:rsid w:val="00F979B7"/>
    <w:rsid w:val="00FA1887"/>
    <w:rsid w:val="00FA39BF"/>
    <w:rsid w:val="00FA4568"/>
    <w:rsid w:val="00FA4A68"/>
    <w:rsid w:val="00FA6DEE"/>
    <w:rsid w:val="00FA70A7"/>
    <w:rsid w:val="00FA7F7E"/>
    <w:rsid w:val="00FB43EF"/>
    <w:rsid w:val="00FB4E76"/>
    <w:rsid w:val="00FB5337"/>
    <w:rsid w:val="00FB5DD6"/>
    <w:rsid w:val="00FB6A82"/>
    <w:rsid w:val="00FB7AEB"/>
    <w:rsid w:val="00FC15A9"/>
    <w:rsid w:val="00FC1CE1"/>
    <w:rsid w:val="00FC2874"/>
    <w:rsid w:val="00FC2919"/>
    <w:rsid w:val="00FC2E34"/>
    <w:rsid w:val="00FC3D42"/>
    <w:rsid w:val="00FD04C3"/>
    <w:rsid w:val="00FD06DF"/>
    <w:rsid w:val="00FD0B4D"/>
    <w:rsid w:val="00FD0B6E"/>
    <w:rsid w:val="00FD1235"/>
    <w:rsid w:val="00FD18BF"/>
    <w:rsid w:val="00FD21EB"/>
    <w:rsid w:val="00FD263B"/>
    <w:rsid w:val="00FD3CA5"/>
    <w:rsid w:val="00FD40BC"/>
    <w:rsid w:val="00FE22B6"/>
    <w:rsid w:val="00FE25F8"/>
    <w:rsid w:val="00FE28B1"/>
    <w:rsid w:val="00FE3048"/>
    <w:rsid w:val="00FE316C"/>
    <w:rsid w:val="00FE5E3E"/>
    <w:rsid w:val="00FE719A"/>
    <w:rsid w:val="00FF00D8"/>
    <w:rsid w:val="00FF26DB"/>
    <w:rsid w:val="00FF310A"/>
    <w:rsid w:val="00FF4404"/>
    <w:rsid w:val="00FF4459"/>
    <w:rsid w:val="00FF47A5"/>
    <w:rsid w:val="00FF56D0"/>
    <w:rsid w:val="00FF767B"/>
    <w:rsid w:val="00FF7691"/>
    <w:rsid w:val="07E1F6C2"/>
    <w:rsid w:val="0BAF31B9"/>
    <w:rsid w:val="0FE26949"/>
    <w:rsid w:val="1251DF1B"/>
    <w:rsid w:val="14DAB7D6"/>
    <w:rsid w:val="1A5BAA69"/>
    <w:rsid w:val="1ADE9BFA"/>
    <w:rsid w:val="20E141B2"/>
    <w:rsid w:val="20E7ADE5"/>
    <w:rsid w:val="265E204A"/>
    <w:rsid w:val="26ED0D09"/>
    <w:rsid w:val="2BB132D1"/>
    <w:rsid w:val="3295DD1C"/>
    <w:rsid w:val="375587A2"/>
    <w:rsid w:val="386342A6"/>
    <w:rsid w:val="3A6CC557"/>
    <w:rsid w:val="3A90837E"/>
    <w:rsid w:val="48F57CC0"/>
    <w:rsid w:val="51D731BB"/>
    <w:rsid w:val="5642C4E7"/>
    <w:rsid w:val="573F0141"/>
    <w:rsid w:val="58F8B5E3"/>
    <w:rsid w:val="5FDAEF52"/>
    <w:rsid w:val="6130A2A6"/>
    <w:rsid w:val="6CDCA2A9"/>
    <w:rsid w:val="6DB925A5"/>
    <w:rsid w:val="709F0A6F"/>
    <w:rsid w:val="73114D28"/>
    <w:rsid w:val="742E24C2"/>
    <w:rsid w:val="77AE6E17"/>
    <w:rsid w:val="78DA40A9"/>
    <w:rsid w:val="7A14B855"/>
    <w:rsid w:val="7AD93502"/>
    <w:rsid w:val="7C3BE380"/>
    <w:rsid w:val="7F6AE9B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069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4A0"/>
    <w:pPr>
      <w:spacing w:before="120" w:after="120"/>
    </w:pPr>
    <w:rPr>
      <w:rFonts w:ascii="Calibri Light" w:eastAsia="Times New Roman" w:hAnsi="Calibri Light"/>
      <w:sz w:val="22"/>
      <w:lang w:eastAsia="en-AU"/>
    </w:rPr>
  </w:style>
  <w:style w:type="paragraph" w:styleId="Heading1">
    <w:name w:val="heading 1"/>
    <w:basedOn w:val="Normal"/>
    <w:next w:val="Normal"/>
    <w:link w:val="Heading1Char"/>
    <w:rsid w:val="00AE53E5"/>
    <w:pPr>
      <w:keepNext/>
      <w:spacing w:before="600" w:line="460" w:lineRule="exact"/>
      <w:outlineLvl w:val="0"/>
    </w:pPr>
    <w:rPr>
      <w:rFonts w:ascii="Calibri" w:hAnsi="Calibri" w:cs="Arial"/>
      <w:b/>
      <w:color w:val="5D779D" w:themeColor="accent3"/>
      <w:kern w:val="32"/>
      <w:sz w:val="44"/>
      <w:szCs w:val="36"/>
    </w:rPr>
  </w:style>
  <w:style w:type="paragraph" w:styleId="Heading2">
    <w:name w:val="heading 2"/>
    <w:basedOn w:val="Normal"/>
    <w:next w:val="Normal"/>
    <w:link w:val="Heading2Char"/>
    <w:qFormat/>
    <w:rsid w:val="00AE53E5"/>
    <w:pPr>
      <w:keepNext/>
      <w:spacing w:before="360" w:line="460" w:lineRule="exact"/>
      <w:outlineLvl w:val="1"/>
    </w:pPr>
    <w:rPr>
      <w:rFonts w:ascii="Calibri" w:hAnsi="Calibri" w:cs="Arial"/>
      <w:iCs/>
      <w:color w:val="2C384A"/>
      <w:kern w:val="32"/>
      <w:sz w:val="36"/>
      <w:szCs w:val="28"/>
    </w:rPr>
  </w:style>
  <w:style w:type="paragraph" w:styleId="Heading3">
    <w:name w:val="heading 3"/>
    <w:basedOn w:val="Normal"/>
    <w:next w:val="Normal"/>
    <w:link w:val="Heading3Char"/>
    <w:qFormat/>
    <w:rsid w:val="00AE53E5"/>
    <w:pPr>
      <w:keepNext/>
      <w:spacing w:before="320" w:after="0" w:line="276" w:lineRule="auto"/>
      <w:outlineLvl w:val="2"/>
    </w:pPr>
    <w:rPr>
      <w:rFonts w:ascii="Calibri" w:hAnsi="Calibri" w:cs="Arial"/>
      <w:b/>
      <w:color w:val="4D7861" w:themeColor="accent2"/>
      <w:kern w:val="32"/>
      <w:sz w:val="28"/>
      <w:szCs w:val="26"/>
    </w:rPr>
  </w:style>
  <w:style w:type="paragraph" w:styleId="Heading4">
    <w:name w:val="heading 4"/>
    <w:basedOn w:val="Normal"/>
    <w:next w:val="Normal"/>
    <w:link w:val="Heading4Char"/>
    <w:qFormat/>
    <w:rsid w:val="005B05C3"/>
    <w:pPr>
      <w:keepNext/>
      <w:spacing w:before="240" w:after="0" w:line="276" w:lineRule="auto"/>
      <w:outlineLvl w:val="3"/>
    </w:pPr>
    <w:rPr>
      <w:rFonts w:cs="Arial"/>
      <w:color w:val="4D7861" w:themeColor="accent2"/>
      <w:kern w:val="32"/>
      <w:szCs w:val="26"/>
    </w:rPr>
  </w:style>
  <w:style w:type="paragraph" w:styleId="Heading5">
    <w:name w:val="heading 5"/>
    <w:basedOn w:val="Normal"/>
    <w:next w:val="Normal"/>
    <w:link w:val="Heading5Char"/>
    <w:rsid w:val="00AE53E5"/>
    <w:pPr>
      <w:keepNext/>
      <w:spacing w:before="240" w:after="0" w:line="276" w:lineRule="auto"/>
      <w:outlineLvl w:val="4"/>
    </w:pPr>
    <w:rPr>
      <w:rFonts w:asciiTheme="majorHAnsi" w:hAnsiTheme="majorHAnsi" w:cs="Arial"/>
      <w:b/>
      <w:iCs/>
      <w:color w:val="000000" w:themeColor="text1"/>
      <w:kern w:val="32"/>
      <w:szCs w:val="36"/>
    </w:rPr>
  </w:style>
  <w:style w:type="paragraph" w:styleId="Heading6">
    <w:name w:val="heading 6"/>
    <w:basedOn w:val="Normal"/>
    <w:next w:val="Normal"/>
    <w:link w:val="Heading6Char"/>
    <w:rsid w:val="00AE53E5"/>
    <w:pPr>
      <w:keepNext/>
      <w:spacing w:after="0" w:line="276" w:lineRule="auto"/>
      <w:outlineLvl w:val="5"/>
    </w:pPr>
    <w:rPr>
      <w:rFonts w:cs="Arial"/>
      <w:color w:val="000000" w:themeColor="text1"/>
      <w:kern w:val="32"/>
      <w:szCs w:val="22"/>
    </w:rPr>
  </w:style>
  <w:style w:type="paragraph" w:styleId="Heading7">
    <w:name w:val="heading 7"/>
    <w:basedOn w:val="Normal"/>
    <w:next w:val="Normal"/>
    <w:link w:val="Heading7Char"/>
    <w:uiPriority w:val="9"/>
    <w:semiHidden/>
    <w:unhideWhenUsed/>
    <w:rsid w:val="00C23C8C"/>
    <w:pPr>
      <w:keepNext/>
      <w:keepLines/>
      <w:spacing w:before="40"/>
      <w:outlineLvl w:val="6"/>
    </w:pPr>
    <w:rPr>
      <w:rFonts w:asciiTheme="majorHAnsi" w:eastAsiaTheme="majorEastAsia" w:hAnsiTheme="majorHAnsi" w:cstheme="majorBidi"/>
      <w:iCs/>
      <w:color w:val="161B24" w:themeColor="accent1" w:themeShade="7F"/>
    </w:rPr>
  </w:style>
  <w:style w:type="paragraph" w:styleId="Heading8">
    <w:name w:val="heading 8"/>
    <w:basedOn w:val="Normal"/>
    <w:next w:val="Normal"/>
    <w:link w:val="Heading8Char"/>
    <w:uiPriority w:val="9"/>
    <w:unhideWhenUsed/>
    <w:rsid w:val="00C23C8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C23C8C"/>
    <w:pPr>
      <w:keepNext/>
      <w:keepLines/>
      <w:spacing w:before="40"/>
      <w:outlineLvl w:val="8"/>
    </w:pPr>
    <w:rPr>
      <w:rFonts w:asciiTheme="majorHAnsi" w:eastAsiaTheme="majorEastAsia" w:hAnsiTheme="majorHAnsi" w:cstheme="majorBid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F0B15"/>
    <w:pPr>
      <w:tabs>
        <w:tab w:val="center" w:pos="4320"/>
        <w:tab w:val="right" w:pos="8640"/>
      </w:tabs>
    </w:pPr>
  </w:style>
  <w:style w:type="character" w:customStyle="1" w:styleId="HeaderChar">
    <w:name w:val="Header Char"/>
    <w:basedOn w:val="DefaultParagraphFont"/>
    <w:link w:val="Header"/>
    <w:rsid w:val="007F53C0"/>
    <w:rPr>
      <w:rFonts w:ascii="Times New Roman" w:eastAsia="Times New Roman" w:hAnsi="Times New Roman"/>
      <w:sz w:val="24"/>
      <w:szCs w:val="24"/>
    </w:rPr>
  </w:style>
  <w:style w:type="paragraph" w:styleId="Footer">
    <w:name w:val="footer"/>
    <w:basedOn w:val="Normal"/>
    <w:link w:val="FooterChar"/>
    <w:uiPriority w:val="99"/>
    <w:rsid w:val="00BA123B"/>
    <w:pPr>
      <w:tabs>
        <w:tab w:val="center" w:pos="4320"/>
        <w:tab w:val="right" w:pos="8640"/>
      </w:tabs>
    </w:pPr>
    <w:rPr>
      <w:sz w:val="20"/>
    </w:rPr>
  </w:style>
  <w:style w:type="character" w:customStyle="1" w:styleId="FooterChar">
    <w:name w:val="Footer Char"/>
    <w:basedOn w:val="DefaultParagraphFont"/>
    <w:link w:val="Footer"/>
    <w:uiPriority w:val="99"/>
    <w:rsid w:val="00BA123B"/>
    <w:rPr>
      <w:rFonts w:ascii="Calibri Light" w:eastAsia="Times New Roman" w:hAnsi="Calibri Light"/>
      <w:lang w:eastAsia="en-AU"/>
    </w:rPr>
  </w:style>
  <w:style w:type="paragraph" w:customStyle="1" w:styleId="Factsheettitle">
    <w:name w:val="Fact sheet title"/>
    <w:basedOn w:val="Normal"/>
    <w:qFormat/>
    <w:rsid w:val="0088159C"/>
    <w:pPr>
      <w:spacing w:after="600"/>
    </w:pPr>
    <w:rPr>
      <w:rFonts w:ascii="Calibri" w:hAnsi="Calibri"/>
      <w:color w:val="2C384A" w:themeColor="accent1"/>
      <w:spacing w:val="-14"/>
      <w:sz w:val="68"/>
      <w:szCs w:val="68"/>
    </w:rPr>
  </w:style>
  <w:style w:type="character" w:customStyle="1" w:styleId="Heading1Char">
    <w:name w:val="Heading 1 Char"/>
    <w:basedOn w:val="DefaultParagraphFont"/>
    <w:link w:val="Heading1"/>
    <w:rsid w:val="00AE53E5"/>
    <w:rPr>
      <w:rFonts w:eastAsia="Times New Roman" w:cs="Arial"/>
      <w:b/>
      <w:color w:val="5D779D" w:themeColor="accent3"/>
      <w:kern w:val="32"/>
      <w:sz w:val="44"/>
      <w:szCs w:val="36"/>
      <w:lang w:eastAsia="en-AU"/>
    </w:rPr>
  </w:style>
  <w:style w:type="paragraph" w:customStyle="1" w:styleId="Dash">
    <w:name w:val="Dash"/>
    <w:basedOn w:val="Normal"/>
    <w:link w:val="DashChar"/>
    <w:qFormat/>
    <w:rsid w:val="00BA123B"/>
    <w:pPr>
      <w:numPr>
        <w:ilvl w:val="1"/>
        <w:numId w:val="9"/>
      </w:numPr>
      <w:tabs>
        <w:tab w:val="clear" w:pos="567"/>
      </w:tabs>
      <w:spacing w:before="0"/>
    </w:pPr>
  </w:style>
  <w:style w:type="character" w:customStyle="1" w:styleId="DashChar">
    <w:name w:val="Dash Char"/>
    <w:basedOn w:val="DefaultParagraphFont"/>
    <w:link w:val="Dash"/>
    <w:rsid w:val="00BA123B"/>
    <w:rPr>
      <w:rFonts w:ascii="Calibri Light" w:eastAsia="Times New Roman" w:hAnsi="Calibri Light"/>
      <w:sz w:val="22"/>
      <w:lang w:eastAsia="en-AU"/>
    </w:rPr>
  </w:style>
  <w:style w:type="paragraph" w:customStyle="1" w:styleId="DoubleDot">
    <w:name w:val="Double Dot"/>
    <w:basedOn w:val="Normal"/>
    <w:link w:val="DoubleDotChar"/>
    <w:qFormat/>
    <w:rsid w:val="00BA123B"/>
    <w:pPr>
      <w:numPr>
        <w:ilvl w:val="2"/>
        <w:numId w:val="9"/>
      </w:numPr>
      <w:tabs>
        <w:tab w:val="clear" w:pos="850"/>
      </w:tabs>
      <w:spacing w:before="0"/>
    </w:pPr>
  </w:style>
  <w:style w:type="character" w:customStyle="1" w:styleId="DoubleDotChar">
    <w:name w:val="Double Dot Char"/>
    <w:basedOn w:val="DefaultParagraphFont"/>
    <w:link w:val="DoubleDot"/>
    <w:rsid w:val="00BA123B"/>
    <w:rPr>
      <w:rFonts w:ascii="Calibri Light" w:eastAsia="Times New Roman" w:hAnsi="Calibri Light"/>
      <w:sz w:val="22"/>
      <w:lang w:eastAsia="en-AU"/>
    </w:rPr>
  </w:style>
  <w:style w:type="paragraph" w:styleId="BalloonText">
    <w:name w:val="Balloon Text"/>
    <w:basedOn w:val="Normal"/>
    <w:link w:val="BalloonTextChar"/>
    <w:semiHidden/>
    <w:rsid w:val="008F0B15"/>
    <w:rPr>
      <w:rFonts w:ascii="Tahoma" w:hAnsi="Tahoma" w:cs="Tahoma"/>
      <w:sz w:val="16"/>
      <w:szCs w:val="16"/>
    </w:rPr>
  </w:style>
  <w:style w:type="character" w:customStyle="1" w:styleId="BalloonTextChar">
    <w:name w:val="Balloon Text Char"/>
    <w:basedOn w:val="DefaultParagraphFont"/>
    <w:link w:val="BalloonText"/>
    <w:semiHidden/>
    <w:rsid w:val="00627218"/>
    <w:rPr>
      <w:rFonts w:ascii="Tahoma" w:eastAsia="Times New Roman" w:hAnsi="Tahoma" w:cs="Tahoma"/>
      <w:sz w:val="16"/>
      <w:szCs w:val="16"/>
    </w:rPr>
  </w:style>
  <w:style w:type="character" w:customStyle="1" w:styleId="Heading2Char">
    <w:name w:val="Heading 2 Char"/>
    <w:basedOn w:val="DefaultParagraphFont"/>
    <w:link w:val="Heading2"/>
    <w:rsid w:val="00AE53E5"/>
    <w:rPr>
      <w:rFonts w:eastAsia="Times New Roman" w:cs="Arial"/>
      <w:iCs/>
      <w:color w:val="2C384A"/>
      <w:kern w:val="32"/>
      <w:sz w:val="36"/>
      <w:szCs w:val="28"/>
      <w:lang w:eastAsia="en-AU"/>
    </w:rPr>
  </w:style>
  <w:style w:type="character" w:customStyle="1" w:styleId="Heading3Char">
    <w:name w:val="Heading 3 Char"/>
    <w:basedOn w:val="DefaultParagraphFont"/>
    <w:link w:val="Heading3"/>
    <w:rsid w:val="00AE53E5"/>
    <w:rPr>
      <w:rFonts w:eastAsia="Times New Roman" w:cs="Arial"/>
      <w:b/>
      <w:color w:val="4D7861" w:themeColor="accent2"/>
      <w:kern w:val="32"/>
      <w:sz w:val="28"/>
      <w:szCs w:val="26"/>
      <w:lang w:eastAsia="en-AU"/>
    </w:rPr>
  </w:style>
  <w:style w:type="character" w:customStyle="1" w:styleId="Heading4Char">
    <w:name w:val="Heading 4 Char"/>
    <w:basedOn w:val="DefaultParagraphFont"/>
    <w:link w:val="Heading4"/>
    <w:rsid w:val="005B05C3"/>
    <w:rPr>
      <w:rFonts w:ascii="Calibri Light" w:eastAsia="Times New Roman" w:hAnsi="Calibri Light" w:cs="Arial"/>
      <w:color w:val="4D7861" w:themeColor="accent2"/>
      <w:kern w:val="32"/>
      <w:sz w:val="22"/>
      <w:szCs w:val="26"/>
      <w:lang w:eastAsia="en-AU"/>
    </w:rPr>
  </w:style>
  <w:style w:type="table" w:styleId="TableGrid">
    <w:name w:val="Table Grid"/>
    <w:basedOn w:val="TableNormal"/>
    <w:uiPriority w:val="59"/>
    <w:rsid w:val="008F0B15"/>
    <w:rPr>
      <w:rFonts w:ascii="Times New Roman" w:eastAsia="Times New Roman" w:hAnsi="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C4F86"/>
    <w:tblPr>
      <w:tblBorders>
        <w:top w:val="single" w:sz="2" w:space="0" w:color="2E74B5"/>
        <w:left w:val="single" w:sz="2" w:space="0" w:color="2E74B5"/>
        <w:bottom w:val="single" w:sz="2" w:space="0" w:color="2E74B5"/>
        <w:right w:val="single" w:sz="2" w:space="0" w:color="2E74B5"/>
        <w:insideH w:val="single" w:sz="2" w:space="0" w:color="2E74B5"/>
        <w:insideV w:val="single" w:sz="2" w:space="0" w:color="2E74B5"/>
      </w:tblBorders>
    </w:tblPr>
    <w:tblStylePr w:type="firstRow">
      <w:rPr>
        <w:rFonts w:ascii="Calibri" w:hAnsi="Calibri"/>
        <w:b/>
        <w:i w:val="0"/>
        <w:color w:val="FFFFFF"/>
        <w:sz w:val="20"/>
      </w:rPr>
      <w:tblPr/>
      <w:tcPr>
        <w:shd w:val="clear" w:color="auto" w:fill="2E74B5"/>
      </w:tcPr>
    </w:tblStylePr>
  </w:style>
  <w:style w:type="paragraph" w:customStyle="1" w:styleId="Introtext">
    <w:name w:val="Intro text"/>
    <w:basedOn w:val="Normal"/>
    <w:qFormat/>
    <w:rsid w:val="008D5358"/>
    <w:pPr>
      <w:numPr>
        <w:ilvl w:val="1"/>
      </w:numPr>
      <w:spacing w:after="240"/>
    </w:pPr>
    <w:rPr>
      <w:rFonts w:ascii="Calibri" w:eastAsiaTheme="minorEastAsia" w:hAnsi="Calibri" w:cstheme="minorBidi"/>
      <w:color w:val="10263B"/>
      <w:sz w:val="26"/>
      <w:szCs w:val="26"/>
      <w:lang w:eastAsia="zh-CN"/>
    </w:rPr>
  </w:style>
  <w:style w:type="character" w:styleId="Hyperlink">
    <w:name w:val="Hyperlink"/>
    <w:uiPriority w:val="99"/>
    <w:rsid w:val="008D5358"/>
    <w:rPr>
      <w:color w:val="5D779D" w:themeColor="accent3"/>
      <w:u w:val="single"/>
    </w:rPr>
  </w:style>
  <w:style w:type="character" w:styleId="FollowedHyperlink">
    <w:name w:val="FollowedHyperlink"/>
    <w:basedOn w:val="DefaultParagraphFont"/>
    <w:semiHidden/>
    <w:unhideWhenUsed/>
    <w:rsid w:val="008F0B15"/>
    <w:rPr>
      <w:color w:val="844D9E" w:themeColor="followedHyperlink"/>
      <w:u w:val="single"/>
    </w:rPr>
  </w:style>
  <w:style w:type="paragraph" w:styleId="Revision">
    <w:name w:val="Revision"/>
    <w:hidden/>
    <w:uiPriority w:val="99"/>
    <w:semiHidden/>
    <w:rsid w:val="008D4CD0"/>
    <w:rPr>
      <w:rFonts w:ascii="Calibri Light" w:hAnsi="Calibri Light"/>
      <w:color w:val="0D0D0D" w:themeColor="text1" w:themeTint="F2"/>
      <w:sz w:val="22"/>
    </w:rPr>
  </w:style>
  <w:style w:type="character" w:styleId="PlaceholderText">
    <w:name w:val="Placeholder Text"/>
    <w:basedOn w:val="DefaultParagraphFont"/>
    <w:uiPriority w:val="99"/>
    <w:semiHidden/>
    <w:rsid w:val="008F0B15"/>
    <w:rPr>
      <w:color w:val="808080"/>
    </w:rPr>
  </w:style>
  <w:style w:type="character" w:customStyle="1" w:styleId="Heading5Char">
    <w:name w:val="Heading 5 Char"/>
    <w:basedOn w:val="DefaultParagraphFont"/>
    <w:link w:val="Heading5"/>
    <w:rsid w:val="00AE53E5"/>
    <w:rPr>
      <w:rFonts w:asciiTheme="majorHAnsi" w:eastAsia="Times New Roman" w:hAnsiTheme="majorHAnsi" w:cs="Arial"/>
      <w:b/>
      <w:iCs/>
      <w:color w:val="000000" w:themeColor="text1"/>
      <w:kern w:val="32"/>
      <w:sz w:val="22"/>
      <w:szCs w:val="36"/>
      <w:lang w:eastAsia="en-AU"/>
    </w:rPr>
  </w:style>
  <w:style w:type="paragraph" w:customStyle="1" w:styleId="BoxHeading">
    <w:name w:val="Box Heading"/>
    <w:basedOn w:val="Normal"/>
    <w:next w:val="Normal"/>
    <w:rsid w:val="00AE53E5"/>
    <w:pPr>
      <w:keepNext/>
      <w:spacing w:before="240"/>
    </w:pPr>
    <w:rPr>
      <w:b/>
      <w:color w:val="2C384A" w:themeColor="accent1"/>
      <w:sz w:val="26"/>
      <w:szCs w:val="26"/>
    </w:rPr>
  </w:style>
  <w:style w:type="paragraph" w:customStyle="1" w:styleId="BoxText">
    <w:name w:val="Box Text"/>
    <w:basedOn w:val="Normal"/>
    <w:link w:val="BoxTextChar"/>
    <w:rsid w:val="00506BF4"/>
    <w:pPr>
      <w:spacing w:before="60" w:after="60"/>
    </w:pPr>
  </w:style>
  <w:style w:type="paragraph" w:customStyle="1" w:styleId="Bullet">
    <w:name w:val="Bullet"/>
    <w:basedOn w:val="Normal"/>
    <w:link w:val="BulletChar"/>
    <w:qFormat/>
    <w:rsid w:val="00BA123B"/>
    <w:pPr>
      <w:numPr>
        <w:numId w:val="7"/>
      </w:numPr>
      <w:spacing w:before="0" w:line="276" w:lineRule="auto"/>
    </w:pPr>
  </w:style>
  <w:style w:type="character" w:customStyle="1" w:styleId="BoxTextChar">
    <w:name w:val="Box Text Char"/>
    <w:basedOn w:val="DefaultParagraphFont"/>
    <w:link w:val="BoxText"/>
    <w:rsid w:val="00506BF4"/>
    <w:rPr>
      <w:rFonts w:ascii="Calibri Light" w:eastAsia="Times New Roman" w:hAnsi="Calibri Light"/>
      <w:sz w:val="22"/>
      <w:lang w:eastAsia="en-AU"/>
    </w:rPr>
  </w:style>
  <w:style w:type="character" w:customStyle="1" w:styleId="BulletChar">
    <w:name w:val="Bullet Char"/>
    <w:basedOn w:val="DefaultParagraphFont"/>
    <w:link w:val="Bullet"/>
    <w:rsid w:val="00BA123B"/>
    <w:rPr>
      <w:rFonts w:ascii="Calibri Light" w:eastAsia="Times New Roman" w:hAnsi="Calibri Light"/>
      <w:sz w:val="22"/>
      <w:lang w:eastAsia="en-AU"/>
    </w:rPr>
  </w:style>
  <w:style w:type="paragraph" w:customStyle="1" w:styleId="Boxbullet">
    <w:name w:val="Box bullet"/>
    <w:basedOn w:val="Bullet"/>
    <w:rsid w:val="00BA123B"/>
    <w:pPr>
      <w:spacing w:after="60"/>
    </w:pPr>
    <w:rPr>
      <w:color w:val="0D0D0D" w:themeColor="text1" w:themeTint="F2"/>
    </w:rPr>
  </w:style>
  <w:style w:type="paragraph" w:customStyle="1" w:styleId="Boxdash">
    <w:name w:val="Box dash"/>
    <w:basedOn w:val="Dash"/>
    <w:rsid w:val="00BA123B"/>
    <w:pPr>
      <w:tabs>
        <w:tab w:val="num" w:pos="1040"/>
      </w:tabs>
      <w:spacing w:after="60" w:line="276" w:lineRule="auto"/>
    </w:pPr>
    <w:rPr>
      <w:rFonts w:eastAsiaTheme="minorHAnsi"/>
      <w:color w:val="0D0D0D" w:themeColor="text1" w:themeTint="F2"/>
    </w:rPr>
  </w:style>
  <w:style w:type="paragraph" w:customStyle="1" w:styleId="Boxdoubledot">
    <w:name w:val="Box double dot"/>
    <w:basedOn w:val="DoubleDot"/>
    <w:rsid w:val="00BA123B"/>
    <w:pPr>
      <w:tabs>
        <w:tab w:val="num" w:pos="1560"/>
      </w:tabs>
      <w:spacing w:after="60" w:line="276" w:lineRule="auto"/>
    </w:pPr>
    <w:rPr>
      <w:rFonts w:eastAsiaTheme="minorHAnsi"/>
      <w:color w:val="0D0D0D" w:themeColor="text1" w:themeTint="F2"/>
    </w:rPr>
  </w:style>
  <w:style w:type="character" w:customStyle="1" w:styleId="Heading9Char">
    <w:name w:val="Heading 9 Char"/>
    <w:basedOn w:val="DefaultParagraphFont"/>
    <w:link w:val="Heading9"/>
    <w:uiPriority w:val="9"/>
    <w:rsid w:val="00C23C8C"/>
    <w:rPr>
      <w:rFonts w:asciiTheme="majorHAnsi" w:eastAsiaTheme="majorEastAsia" w:hAnsiTheme="majorHAnsi" w:cstheme="majorBidi"/>
      <w:iCs/>
      <w:color w:val="272727" w:themeColor="text1" w:themeTint="D8"/>
      <w:sz w:val="21"/>
      <w:szCs w:val="21"/>
    </w:rPr>
  </w:style>
  <w:style w:type="character" w:customStyle="1" w:styleId="Heading8Char">
    <w:name w:val="Heading 8 Char"/>
    <w:basedOn w:val="DefaultParagraphFont"/>
    <w:link w:val="Heading8"/>
    <w:uiPriority w:val="9"/>
    <w:rsid w:val="00C23C8C"/>
    <w:rPr>
      <w:rFonts w:asciiTheme="majorHAnsi" w:eastAsiaTheme="majorEastAsia" w:hAnsiTheme="majorHAnsi" w:cstheme="majorBidi"/>
      <w:color w:val="272727" w:themeColor="text1" w:themeTint="D8"/>
      <w:sz w:val="21"/>
      <w:szCs w:val="21"/>
    </w:rPr>
  </w:style>
  <w:style w:type="character" w:customStyle="1" w:styleId="Heading6Char">
    <w:name w:val="Heading 6 Char"/>
    <w:basedOn w:val="DefaultParagraphFont"/>
    <w:link w:val="Heading6"/>
    <w:rsid w:val="00AE53E5"/>
    <w:rPr>
      <w:rFonts w:ascii="Calibri Light" w:eastAsia="Times New Roman" w:hAnsi="Calibri Light" w:cs="Arial"/>
      <w:color w:val="000000" w:themeColor="text1"/>
      <w:kern w:val="32"/>
      <w:sz w:val="22"/>
      <w:szCs w:val="22"/>
      <w:lang w:eastAsia="en-AU"/>
    </w:rPr>
  </w:style>
  <w:style w:type="character" w:customStyle="1" w:styleId="Heading7Char">
    <w:name w:val="Heading 7 Char"/>
    <w:basedOn w:val="DefaultParagraphFont"/>
    <w:link w:val="Heading7"/>
    <w:uiPriority w:val="9"/>
    <w:semiHidden/>
    <w:rsid w:val="00C23C8C"/>
    <w:rPr>
      <w:rFonts w:asciiTheme="majorHAnsi" w:eastAsiaTheme="majorEastAsia" w:hAnsiTheme="majorHAnsi" w:cstheme="majorBidi"/>
      <w:iCs/>
      <w:color w:val="161B24" w:themeColor="accent1" w:themeShade="7F"/>
      <w:sz w:val="22"/>
    </w:rPr>
  </w:style>
  <w:style w:type="paragraph" w:styleId="NoSpacing">
    <w:name w:val="No Spacing"/>
    <w:link w:val="NoSpacingChar"/>
    <w:uiPriority w:val="1"/>
    <w:qFormat/>
    <w:rsid w:val="008F0B15"/>
    <w:rPr>
      <w:rFonts w:asciiTheme="minorHAnsi" w:eastAsiaTheme="minorEastAsia" w:hAnsiTheme="minorHAnsi" w:cstheme="minorBidi"/>
      <w:sz w:val="22"/>
      <w:szCs w:val="22"/>
      <w:lang w:val="en-US"/>
    </w:rPr>
  </w:style>
  <w:style w:type="paragraph" w:customStyle="1" w:styleId="Default">
    <w:name w:val="Default"/>
    <w:rsid w:val="008F0B15"/>
    <w:pPr>
      <w:autoSpaceDE w:val="0"/>
      <w:autoSpaceDN w:val="0"/>
      <w:adjustRightInd w:val="0"/>
    </w:pPr>
    <w:rPr>
      <w:rFonts w:ascii="Verdana" w:eastAsia="Times New Roman" w:hAnsi="Verdana" w:cs="Verdana"/>
      <w:color w:val="000000"/>
      <w:sz w:val="24"/>
      <w:szCs w:val="24"/>
      <w:lang w:eastAsia="en-AU"/>
    </w:rPr>
  </w:style>
  <w:style w:type="character" w:styleId="FootnoteReference">
    <w:name w:val="footnote reference"/>
    <w:basedOn w:val="DefaultParagraphFont"/>
    <w:rsid w:val="008F0B15"/>
    <w:rPr>
      <w:vertAlign w:val="superscript"/>
    </w:rPr>
  </w:style>
  <w:style w:type="paragraph" w:styleId="FootnoteText">
    <w:name w:val="footnote text"/>
    <w:basedOn w:val="Normal"/>
    <w:link w:val="FootnoteTextChar"/>
    <w:rsid w:val="008F0B15"/>
    <w:pPr>
      <w:spacing w:after="0"/>
    </w:pPr>
    <w:rPr>
      <w:sz w:val="20"/>
    </w:rPr>
  </w:style>
  <w:style w:type="character" w:customStyle="1" w:styleId="FootnoteTextChar">
    <w:name w:val="Footnote Text Char"/>
    <w:basedOn w:val="DefaultParagraphFont"/>
    <w:link w:val="FootnoteText"/>
    <w:rsid w:val="008F0B15"/>
    <w:rPr>
      <w:rFonts w:ascii="Times New Roman" w:eastAsia="Times New Roman" w:hAnsi="Times New Roman"/>
    </w:rPr>
  </w:style>
  <w:style w:type="table" w:customStyle="1" w:styleId="GridTable5Dark-Accent61">
    <w:name w:val="Grid Table 5 Dark - Accent 61"/>
    <w:basedOn w:val="TableNormal"/>
    <w:uiPriority w:val="50"/>
    <w:rsid w:val="008F0B15"/>
    <w:pPr>
      <w:spacing w:before="100"/>
    </w:pPr>
    <w:rPr>
      <w:rFonts w:asciiTheme="minorHAnsi" w:eastAsiaTheme="minorEastAsia" w:hAnsiTheme="minorHAnsi" w:cstheme="minorBidi"/>
      <w:lang w:eastAsia="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E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AE81"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AE81"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AE81"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AE81" w:themeFill="accent6"/>
      </w:tcPr>
    </w:tblStylePr>
    <w:tblStylePr w:type="band1Vert">
      <w:tblPr/>
      <w:tcPr>
        <w:shd w:val="clear" w:color="auto" w:fill="F9DECC" w:themeFill="accent6" w:themeFillTint="66"/>
      </w:tcPr>
    </w:tblStylePr>
    <w:tblStylePr w:type="band1Horz">
      <w:tblPr/>
      <w:tcPr>
        <w:shd w:val="clear" w:color="auto" w:fill="F9DECC" w:themeFill="accent6" w:themeFillTint="66"/>
      </w:tcPr>
    </w:tblStylePr>
  </w:style>
  <w:style w:type="paragraph" w:customStyle="1" w:styleId="KeyContactsName">
    <w:name w:val="KeyContacts Name"/>
    <w:basedOn w:val="Normal"/>
    <w:next w:val="Normal"/>
    <w:semiHidden/>
    <w:rsid w:val="008F2212"/>
    <w:pPr>
      <w:framePr w:w="2058" w:h="13054" w:hRule="exact" w:wrap="around" w:vAnchor="text" w:hAnchor="page" w:x="965" w:y="1"/>
      <w:pBdr>
        <w:top w:val="single" w:sz="18" w:space="1" w:color="CCD6E3"/>
        <w:left w:val="single" w:sz="18" w:space="4" w:color="CCD6E3"/>
        <w:bottom w:val="single" w:sz="18" w:space="1" w:color="CCD6E3"/>
        <w:right w:val="single" w:sz="18" w:space="4" w:color="CCD6E3"/>
      </w:pBdr>
      <w:shd w:val="clear" w:color="auto" w:fill="CCD6E3"/>
      <w:spacing w:before="240" w:after="0" w:afterAutospacing="1" w:line="264" w:lineRule="auto"/>
    </w:pPr>
    <w:rPr>
      <w:rFonts w:ascii="Univers 45 Light" w:hAnsi="Univers 45 Light"/>
      <w:b/>
      <w:color w:val="0C2D83"/>
      <w:sz w:val="18"/>
      <w:szCs w:val="24"/>
      <w:lang w:val="en-GB"/>
    </w:rPr>
  </w:style>
  <w:style w:type="paragraph" w:styleId="ListParagraph">
    <w:name w:val="List Paragraph"/>
    <w:basedOn w:val="Normal"/>
    <w:link w:val="ListParagraphChar"/>
    <w:uiPriority w:val="34"/>
    <w:qFormat/>
    <w:rsid w:val="00774908"/>
    <w:pPr>
      <w:spacing w:before="0"/>
      <w:ind w:left="720"/>
    </w:pPr>
  </w:style>
  <w:style w:type="character" w:customStyle="1" w:styleId="ListParagraphChar">
    <w:name w:val="List Paragraph Char"/>
    <w:basedOn w:val="DefaultParagraphFont"/>
    <w:link w:val="ListParagraph"/>
    <w:uiPriority w:val="34"/>
    <w:rsid w:val="00774908"/>
    <w:rPr>
      <w:rFonts w:ascii="Calibri Light" w:eastAsia="Times New Roman" w:hAnsi="Calibri Light"/>
      <w:sz w:val="22"/>
      <w:lang w:eastAsia="en-AU"/>
    </w:rPr>
  </w:style>
  <w:style w:type="table" w:customStyle="1" w:styleId="ListTable4-Accent61">
    <w:name w:val="List Table 4 - Accent 61"/>
    <w:basedOn w:val="TableNormal"/>
    <w:uiPriority w:val="49"/>
    <w:rsid w:val="008F0B15"/>
    <w:pPr>
      <w:spacing w:before="100"/>
    </w:pPr>
    <w:rPr>
      <w:rFonts w:asciiTheme="minorHAnsi" w:eastAsiaTheme="minorEastAsia" w:hAnsiTheme="minorHAnsi" w:cstheme="minorBidi"/>
      <w:lang w:eastAsia="en-AU"/>
    </w:rPr>
    <w:tblPr>
      <w:tblStyleRowBandSize w:val="1"/>
      <w:tblStyleColBandSize w:val="1"/>
      <w:tblBorders>
        <w:top w:val="single" w:sz="4" w:space="0" w:color="F6CEB3" w:themeColor="accent6" w:themeTint="99"/>
        <w:left w:val="single" w:sz="4" w:space="0" w:color="F6CEB3" w:themeColor="accent6" w:themeTint="99"/>
        <w:bottom w:val="single" w:sz="4" w:space="0" w:color="F6CEB3" w:themeColor="accent6" w:themeTint="99"/>
        <w:right w:val="single" w:sz="4" w:space="0" w:color="F6CEB3" w:themeColor="accent6" w:themeTint="99"/>
        <w:insideH w:val="single" w:sz="4" w:space="0" w:color="F6CEB3" w:themeColor="accent6" w:themeTint="99"/>
      </w:tblBorders>
    </w:tblPr>
    <w:tblStylePr w:type="firstRow">
      <w:rPr>
        <w:b/>
        <w:bCs/>
        <w:color w:val="FFFFFF" w:themeColor="background1"/>
      </w:rPr>
      <w:tblPr/>
      <w:tcPr>
        <w:tcBorders>
          <w:top w:val="single" w:sz="4" w:space="0" w:color="F0AE81" w:themeColor="accent6"/>
          <w:left w:val="single" w:sz="4" w:space="0" w:color="F0AE81" w:themeColor="accent6"/>
          <w:bottom w:val="single" w:sz="4" w:space="0" w:color="F0AE81" w:themeColor="accent6"/>
          <w:right w:val="single" w:sz="4" w:space="0" w:color="F0AE81" w:themeColor="accent6"/>
          <w:insideH w:val="nil"/>
        </w:tcBorders>
        <w:shd w:val="clear" w:color="auto" w:fill="F0AE81" w:themeFill="accent6"/>
      </w:tcPr>
    </w:tblStylePr>
    <w:tblStylePr w:type="lastRow">
      <w:rPr>
        <w:b/>
        <w:bCs/>
      </w:rPr>
      <w:tblPr/>
      <w:tcPr>
        <w:tcBorders>
          <w:top w:val="double" w:sz="4" w:space="0" w:color="F6CEB3" w:themeColor="accent6" w:themeTint="99"/>
        </w:tcBorders>
      </w:tcPr>
    </w:tblStylePr>
    <w:tblStylePr w:type="firstCol">
      <w:rPr>
        <w:b/>
        <w:bCs/>
      </w:rPr>
    </w:tblStylePr>
    <w:tblStylePr w:type="lastCol">
      <w:rPr>
        <w:b/>
        <w:bCs/>
      </w:rPr>
    </w:tblStylePr>
    <w:tblStylePr w:type="band1Vert">
      <w:tblPr/>
      <w:tcPr>
        <w:shd w:val="clear" w:color="auto" w:fill="FCEEE5" w:themeFill="accent6" w:themeFillTint="33"/>
      </w:tcPr>
    </w:tblStylePr>
    <w:tblStylePr w:type="band1Horz">
      <w:tblPr/>
      <w:tcPr>
        <w:shd w:val="clear" w:color="auto" w:fill="FCEEE5" w:themeFill="accent6" w:themeFillTint="33"/>
      </w:tcPr>
    </w:tblStylePr>
  </w:style>
  <w:style w:type="character" w:customStyle="1" w:styleId="NoSpacingChar">
    <w:name w:val="No Spacing Char"/>
    <w:basedOn w:val="DefaultParagraphFont"/>
    <w:link w:val="NoSpacing"/>
    <w:uiPriority w:val="1"/>
    <w:rsid w:val="008F0B15"/>
    <w:rPr>
      <w:rFonts w:asciiTheme="minorHAnsi" w:eastAsiaTheme="minorEastAsia" w:hAnsiTheme="minorHAnsi" w:cstheme="minorBidi"/>
      <w:sz w:val="22"/>
      <w:szCs w:val="22"/>
      <w:lang w:val="en-US"/>
    </w:rPr>
  </w:style>
  <w:style w:type="paragraph" w:styleId="NormalWeb">
    <w:name w:val="Normal (Web)"/>
    <w:basedOn w:val="Normal"/>
    <w:rsid w:val="008F0B15"/>
    <w:pPr>
      <w:spacing w:before="100" w:beforeAutospacing="1" w:after="100" w:afterAutospacing="1"/>
    </w:pPr>
  </w:style>
  <w:style w:type="character" w:styleId="PageNumber">
    <w:name w:val="page number"/>
    <w:basedOn w:val="DefaultParagraphFont"/>
    <w:rsid w:val="008F0B15"/>
  </w:style>
  <w:style w:type="numbering" w:customStyle="1" w:styleId="StyleBulletedSymbolsymbol11ptLeft4cmHanging05">
    <w:name w:val="Style Bulleted Symbol (symbol) 11 pt Left:  4 cm Hanging:  0.5 ..."/>
    <w:basedOn w:val="NoList"/>
    <w:rsid w:val="008F0B15"/>
    <w:pPr>
      <w:numPr>
        <w:numId w:val="1"/>
      </w:numPr>
    </w:pPr>
  </w:style>
  <w:style w:type="numbering" w:customStyle="1" w:styleId="StyleBulletedSymbolsymbol11ptLeft4cmHanging051">
    <w:name w:val="Style Bulleted Symbol (symbol) 11 pt Left:  4 cm Hanging:  0.5 ...1"/>
    <w:basedOn w:val="NoList"/>
    <w:rsid w:val="008F0B15"/>
    <w:pPr>
      <w:numPr>
        <w:numId w:val="2"/>
      </w:numPr>
    </w:pPr>
  </w:style>
  <w:style w:type="numbering" w:customStyle="1" w:styleId="BoxBulletedList">
    <w:name w:val="Box Bulleted List"/>
    <w:uiPriority w:val="99"/>
    <w:rsid w:val="00AE53E5"/>
    <w:pPr>
      <w:numPr>
        <w:numId w:val="8"/>
      </w:numPr>
    </w:pPr>
  </w:style>
  <w:style w:type="paragraph" w:customStyle="1" w:styleId="Tableheading">
    <w:name w:val="Table heading"/>
    <w:basedOn w:val="Normal"/>
    <w:rsid w:val="008F2212"/>
    <w:pPr>
      <w:keepLines/>
      <w:jc w:val="center"/>
    </w:pPr>
    <w:rPr>
      <w:b/>
    </w:rPr>
  </w:style>
  <w:style w:type="paragraph" w:customStyle="1" w:styleId="TableText">
    <w:name w:val="Table Text"/>
    <w:basedOn w:val="Normal"/>
    <w:rsid w:val="00BA123B"/>
    <w:pPr>
      <w:spacing w:before="100" w:line="264" w:lineRule="auto"/>
    </w:pPr>
    <w:rPr>
      <w:rFonts w:ascii="Calibri" w:eastAsia="Batang" w:hAnsi="Calibri" w:cstheme="minorBidi"/>
      <w:sz w:val="24"/>
    </w:rPr>
  </w:style>
  <w:style w:type="paragraph" w:customStyle="1" w:styleId="Tabletext0">
    <w:name w:val="Table text"/>
    <w:basedOn w:val="Normal"/>
    <w:link w:val="TabletextChar"/>
    <w:rsid w:val="00BA123B"/>
    <w:pPr>
      <w:spacing w:before="80" w:after="80"/>
    </w:pPr>
    <w:rPr>
      <w:rFonts w:ascii="Univers 45 Light" w:hAnsi="Univers 45 Light"/>
      <w:sz w:val="19"/>
    </w:rPr>
  </w:style>
  <w:style w:type="character" w:customStyle="1" w:styleId="TabletextChar">
    <w:name w:val="Table text Char"/>
    <w:basedOn w:val="DefaultParagraphFont"/>
    <w:link w:val="Tabletext0"/>
    <w:rsid w:val="008F0B15"/>
    <w:rPr>
      <w:rFonts w:ascii="Univers 45 Light" w:eastAsia="Times New Roman" w:hAnsi="Univers 45 Light"/>
      <w:sz w:val="19"/>
    </w:rPr>
  </w:style>
  <w:style w:type="character" w:styleId="UnresolvedMention">
    <w:name w:val="Unresolved Mention"/>
    <w:basedOn w:val="DefaultParagraphFont"/>
    <w:uiPriority w:val="99"/>
    <w:semiHidden/>
    <w:unhideWhenUsed/>
    <w:rsid w:val="005E13D7"/>
    <w:rPr>
      <w:color w:val="605E5C"/>
      <w:shd w:val="clear" w:color="auto" w:fill="E1DFDD"/>
    </w:rPr>
  </w:style>
  <w:style w:type="paragraph" w:styleId="ListNumber">
    <w:name w:val="List Number"/>
    <w:basedOn w:val="Normal"/>
    <w:link w:val="ListNumberChar"/>
    <w:uiPriority w:val="99"/>
    <w:unhideWhenUsed/>
    <w:rsid w:val="00EF2429"/>
    <w:pPr>
      <w:numPr>
        <w:numId w:val="15"/>
      </w:numPr>
      <w:tabs>
        <w:tab w:val="clear" w:pos="360"/>
      </w:tabs>
      <w:ind w:left="0" w:firstLine="0"/>
      <w:contextualSpacing/>
    </w:pPr>
  </w:style>
  <w:style w:type="character" w:customStyle="1" w:styleId="ListNumberChar">
    <w:name w:val="List Number Char"/>
    <w:basedOn w:val="DefaultParagraphFont"/>
    <w:link w:val="ListNumber"/>
    <w:uiPriority w:val="99"/>
    <w:rsid w:val="00EF2429"/>
    <w:rPr>
      <w:rFonts w:ascii="Calibri Light" w:eastAsia="Times New Roman" w:hAnsi="Calibri Light"/>
      <w:sz w:val="22"/>
      <w:lang w:eastAsia="en-AU"/>
    </w:rPr>
  </w:style>
  <w:style w:type="paragraph" w:styleId="ListNumber2">
    <w:name w:val="List Number 2"/>
    <w:basedOn w:val="Normal"/>
    <w:uiPriority w:val="99"/>
    <w:semiHidden/>
    <w:unhideWhenUsed/>
    <w:rsid w:val="00F66812"/>
    <w:pPr>
      <w:numPr>
        <w:numId w:val="19"/>
      </w:numPr>
      <w:contextualSpacing/>
    </w:pPr>
  </w:style>
  <w:style w:type="character" w:styleId="CommentReference">
    <w:name w:val="annotation reference"/>
    <w:basedOn w:val="DefaultParagraphFont"/>
    <w:semiHidden/>
    <w:unhideWhenUsed/>
    <w:rsid w:val="000B639C"/>
    <w:rPr>
      <w:sz w:val="16"/>
      <w:szCs w:val="16"/>
    </w:rPr>
  </w:style>
  <w:style w:type="paragraph" w:styleId="CommentText">
    <w:name w:val="annotation text"/>
    <w:basedOn w:val="Normal"/>
    <w:link w:val="CommentTextChar"/>
    <w:unhideWhenUsed/>
    <w:rsid w:val="000B639C"/>
    <w:rPr>
      <w:sz w:val="20"/>
    </w:rPr>
  </w:style>
  <w:style w:type="character" w:customStyle="1" w:styleId="CommentTextChar">
    <w:name w:val="Comment Text Char"/>
    <w:basedOn w:val="DefaultParagraphFont"/>
    <w:link w:val="CommentText"/>
    <w:rsid w:val="000B639C"/>
    <w:rPr>
      <w:rFonts w:ascii="Calibri Light" w:eastAsia="Times New Roman" w:hAnsi="Calibri Light"/>
      <w:lang w:eastAsia="en-AU"/>
    </w:rPr>
  </w:style>
  <w:style w:type="paragraph" w:styleId="CommentSubject">
    <w:name w:val="annotation subject"/>
    <w:basedOn w:val="CommentText"/>
    <w:next w:val="CommentText"/>
    <w:link w:val="CommentSubjectChar"/>
    <w:semiHidden/>
    <w:unhideWhenUsed/>
    <w:rsid w:val="000B639C"/>
    <w:rPr>
      <w:b/>
      <w:bCs/>
    </w:rPr>
  </w:style>
  <w:style w:type="character" w:customStyle="1" w:styleId="CommentSubjectChar">
    <w:name w:val="Comment Subject Char"/>
    <w:basedOn w:val="CommentTextChar"/>
    <w:link w:val="CommentSubject"/>
    <w:semiHidden/>
    <w:rsid w:val="000B639C"/>
    <w:rPr>
      <w:rFonts w:ascii="Calibri Light" w:eastAsia="Times New Roman" w:hAnsi="Calibri Light"/>
      <w:b/>
      <w:bCs/>
      <w:lang w:eastAsia="en-AU"/>
    </w:rPr>
  </w:style>
  <w:style w:type="character" w:styleId="Mention">
    <w:name w:val="Mention"/>
    <w:basedOn w:val="DefaultParagraphFont"/>
    <w:uiPriority w:val="99"/>
    <w:unhideWhenUsed/>
    <w:rsid w:val="005D185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49332">
      <w:bodyDiv w:val="1"/>
      <w:marLeft w:val="0"/>
      <w:marRight w:val="0"/>
      <w:marTop w:val="0"/>
      <w:marBottom w:val="0"/>
      <w:divBdr>
        <w:top w:val="none" w:sz="0" w:space="0" w:color="auto"/>
        <w:left w:val="none" w:sz="0" w:space="0" w:color="auto"/>
        <w:bottom w:val="none" w:sz="0" w:space="0" w:color="auto"/>
        <w:right w:val="none" w:sz="0" w:space="0" w:color="auto"/>
      </w:divBdr>
    </w:div>
    <w:div w:id="181893848">
      <w:bodyDiv w:val="1"/>
      <w:marLeft w:val="0"/>
      <w:marRight w:val="0"/>
      <w:marTop w:val="0"/>
      <w:marBottom w:val="0"/>
      <w:divBdr>
        <w:top w:val="none" w:sz="0" w:space="0" w:color="auto"/>
        <w:left w:val="none" w:sz="0" w:space="0" w:color="auto"/>
        <w:bottom w:val="none" w:sz="0" w:space="0" w:color="auto"/>
        <w:right w:val="none" w:sz="0" w:space="0" w:color="auto"/>
      </w:divBdr>
    </w:div>
    <w:div w:id="215747185">
      <w:bodyDiv w:val="1"/>
      <w:marLeft w:val="0"/>
      <w:marRight w:val="0"/>
      <w:marTop w:val="0"/>
      <w:marBottom w:val="0"/>
      <w:divBdr>
        <w:top w:val="none" w:sz="0" w:space="0" w:color="auto"/>
        <w:left w:val="none" w:sz="0" w:space="0" w:color="auto"/>
        <w:bottom w:val="none" w:sz="0" w:space="0" w:color="auto"/>
        <w:right w:val="none" w:sz="0" w:space="0" w:color="auto"/>
      </w:divBdr>
    </w:div>
    <w:div w:id="324285451">
      <w:bodyDiv w:val="1"/>
      <w:marLeft w:val="0"/>
      <w:marRight w:val="0"/>
      <w:marTop w:val="0"/>
      <w:marBottom w:val="0"/>
      <w:divBdr>
        <w:top w:val="none" w:sz="0" w:space="0" w:color="auto"/>
        <w:left w:val="none" w:sz="0" w:space="0" w:color="auto"/>
        <w:bottom w:val="none" w:sz="0" w:space="0" w:color="auto"/>
        <w:right w:val="none" w:sz="0" w:space="0" w:color="auto"/>
      </w:divBdr>
    </w:div>
    <w:div w:id="401874862">
      <w:bodyDiv w:val="1"/>
      <w:marLeft w:val="0"/>
      <w:marRight w:val="0"/>
      <w:marTop w:val="0"/>
      <w:marBottom w:val="0"/>
      <w:divBdr>
        <w:top w:val="none" w:sz="0" w:space="0" w:color="auto"/>
        <w:left w:val="none" w:sz="0" w:space="0" w:color="auto"/>
        <w:bottom w:val="none" w:sz="0" w:space="0" w:color="auto"/>
        <w:right w:val="none" w:sz="0" w:space="0" w:color="auto"/>
      </w:divBdr>
    </w:div>
    <w:div w:id="423039229">
      <w:bodyDiv w:val="1"/>
      <w:marLeft w:val="0"/>
      <w:marRight w:val="0"/>
      <w:marTop w:val="0"/>
      <w:marBottom w:val="0"/>
      <w:divBdr>
        <w:top w:val="none" w:sz="0" w:space="0" w:color="auto"/>
        <w:left w:val="none" w:sz="0" w:space="0" w:color="auto"/>
        <w:bottom w:val="none" w:sz="0" w:space="0" w:color="auto"/>
        <w:right w:val="none" w:sz="0" w:space="0" w:color="auto"/>
      </w:divBdr>
    </w:div>
    <w:div w:id="433287954">
      <w:bodyDiv w:val="1"/>
      <w:marLeft w:val="0"/>
      <w:marRight w:val="0"/>
      <w:marTop w:val="0"/>
      <w:marBottom w:val="0"/>
      <w:divBdr>
        <w:top w:val="none" w:sz="0" w:space="0" w:color="auto"/>
        <w:left w:val="none" w:sz="0" w:space="0" w:color="auto"/>
        <w:bottom w:val="none" w:sz="0" w:space="0" w:color="auto"/>
        <w:right w:val="none" w:sz="0" w:space="0" w:color="auto"/>
      </w:divBdr>
    </w:div>
    <w:div w:id="873426115">
      <w:bodyDiv w:val="1"/>
      <w:marLeft w:val="0"/>
      <w:marRight w:val="0"/>
      <w:marTop w:val="0"/>
      <w:marBottom w:val="0"/>
      <w:divBdr>
        <w:top w:val="none" w:sz="0" w:space="0" w:color="auto"/>
        <w:left w:val="none" w:sz="0" w:space="0" w:color="auto"/>
        <w:bottom w:val="none" w:sz="0" w:space="0" w:color="auto"/>
        <w:right w:val="none" w:sz="0" w:space="0" w:color="auto"/>
      </w:divBdr>
    </w:div>
    <w:div w:id="936135573">
      <w:bodyDiv w:val="1"/>
      <w:marLeft w:val="0"/>
      <w:marRight w:val="0"/>
      <w:marTop w:val="0"/>
      <w:marBottom w:val="0"/>
      <w:divBdr>
        <w:top w:val="none" w:sz="0" w:space="0" w:color="auto"/>
        <w:left w:val="none" w:sz="0" w:space="0" w:color="auto"/>
        <w:bottom w:val="none" w:sz="0" w:space="0" w:color="auto"/>
        <w:right w:val="none" w:sz="0" w:space="0" w:color="auto"/>
      </w:divBdr>
    </w:div>
    <w:div w:id="989209604">
      <w:bodyDiv w:val="1"/>
      <w:marLeft w:val="0"/>
      <w:marRight w:val="0"/>
      <w:marTop w:val="0"/>
      <w:marBottom w:val="0"/>
      <w:divBdr>
        <w:top w:val="none" w:sz="0" w:space="0" w:color="auto"/>
        <w:left w:val="none" w:sz="0" w:space="0" w:color="auto"/>
        <w:bottom w:val="none" w:sz="0" w:space="0" w:color="auto"/>
        <w:right w:val="none" w:sz="0" w:space="0" w:color="auto"/>
      </w:divBdr>
    </w:div>
    <w:div w:id="991103191">
      <w:bodyDiv w:val="1"/>
      <w:marLeft w:val="0"/>
      <w:marRight w:val="0"/>
      <w:marTop w:val="0"/>
      <w:marBottom w:val="0"/>
      <w:divBdr>
        <w:top w:val="none" w:sz="0" w:space="0" w:color="auto"/>
        <w:left w:val="none" w:sz="0" w:space="0" w:color="auto"/>
        <w:bottom w:val="none" w:sz="0" w:space="0" w:color="auto"/>
        <w:right w:val="none" w:sz="0" w:space="0" w:color="auto"/>
      </w:divBdr>
    </w:div>
    <w:div w:id="1006908061">
      <w:bodyDiv w:val="1"/>
      <w:marLeft w:val="0"/>
      <w:marRight w:val="0"/>
      <w:marTop w:val="0"/>
      <w:marBottom w:val="0"/>
      <w:divBdr>
        <w:top w:val="none" w:sz="0" w:space="0" w:color="auto"/>
        <w:left w:val="none" w:sz="0" w:space="0" w:color="auto"/>
        <w:bottom w:val="none" w:sz="0" w:space="0" w:color="auto"/>
        <w:right w:val="none" w:sz="0" w:space="0" w:color="auto"/>
      </w:divBdr>
    </w:div>
    <w:div w:id="1167748318">
      <w:bodyDiv w:val="1"/>
      <w:marLeft w:val="0"/>
      <w:marRight w:val="0"/>
      <w:marTop w:val="0"/>
      <w:marBottom w:val="0"/>
      <w:divBdr>
        <w:top w:val="none" w:sz="0" w:space="0" w:color="auto"/>
        <w:left w:val="none" w:sz="0" w:space="0" w:color="auto"/>
        <w:bottom w:val="none" w:sz="0" w:space="0" w:color="auto"/>
        <w:right w:val="none" w:sz="0" w:space="0" w:color="auto"/>
      </w:divBdr>
    </w:div>
    <w:div w:id="1748529511">
      <w:bodyDiv w:val="1"/>
      <w:marLeft w:val="0"/>
      <w:marRight w:val="0"/>
      <w:marTop w:val="0"/>
      <w:marBottom w:val="0"/>
      <w:divBdr>
        <w:top w:val="none" w:sz="0" w:space="0" w:color="auto"/>
        <w:left w:val="none" w:sz="0" w:space="0" w:color="auto"/>
        <w:bottom w:val="none" w:sz="0" w:space="0" w:color="auto"/>
        <w:right w:val="none" w:sz="0" w:space="0" w:color="auto"/>
      </w:divBdr>
    </w:div>
    <w:div w:id="1866478470">
      <w:bodyDiv w:val="1"/>
      <w:marLeft w:val="0"/>
      <w:marRight w:val="0"/>
      <w:marTop w:val="0"/>
      <w:marBottom w:val="0"/>
      <w:divBdr>
        <w:top w:val="none" w:sz="0" w:space="0" w:color="auto"/>
        <w:left w:val="none" w:sz="0" w:space="0" w:color="auto"/>
        <w:bottom w:val="none" w:sz="0" w:space="0" w:color="auto"/>
        <w:right w:val="none" w:sz="0" w:space="0" w:color="auto"/>
      </w:divBdr>
    </w:div>
    <w:div w:id="1884059170">
      <w:bodyDiv w:val="1"/>
      <w:marLeft w:val="0"/>
      <w:marRight w:val="0"/>
      <w:marTop w:val="0"/>
      <w:marBottom w:val="0"/>
      <w:divBdr>
        <w:top w:val="none" w:sz="0" w:space="0" w:color="auto"/>
        <w:left w:val="none" w:sz="0" w:space="0" w:color="auto"/>
        <w:bottom w:val="none" w:sz="0" w:space="0" w:color="auto"/>
        <w:right w:val="none" w:sz="0" w:space="0" w:color="auto"/>
      </w:divBdr>
    </w:div>
    <w:div w:id="1942638317">
      <w:bodyDiv w:val="1"/>
      <w:marLeft w:val="0"/>
      <w:marRight w:val="0"/>
      <w:marTop w:val="0"/>
      <w:marBottom w:val="0"/>
      <w:divBdr>
        <w:top w:val="none" w:sz="0" w:space="0" w:color="auto"/>
        <w:left w:val="none" w:sz="0" w:space="0" w:color="auto"/>
        <w:bottom w:val="none" w:sz="0" w:space="0" w:color="auto"/>
        <w:right w:val="none" w:sz="0" w:space="0" w:color="auto"/>
      </w:divBdr>
    </w:div>
    <w:div w:id="211165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SYBrand">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3576</Words>
  <Characters>20386</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Foreign Investment Tax Checklist</dc:title>
  <dc:subject/>
  <dc:creator>Australian Government</dc:creator>
  <cp:keywords/>
  <dc:description/>
  <cp:lastModifiedBy/>
  <cp:revision>1</cp:revision>
  <dcterms:created xsi:type="dcterms:W3CDTF">2026-06-23T10:01:00Z</dcterms:created>
  <dcterms:modified xsi:type="dcterms:W3CDTF">2026-06-23T10:01:00Z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2026-06-23T10:01:33Z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cf0362e7-a150-4d76-9e96-1753ad25cd4d</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