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FAAB" w14:textId="20F060F8" w:rsidR="006B7876" w:rsidRPr="00A63AA5" w:rsidRDefault="00A8076E" w:rsidP="006B7876">
      <w:pPr>
        <w:pStyle w:val="Factsheettitle"/>
      </w:pPr>
      <w:r>
        <w:rPr>
          <w:rStyle w:val="Heading2Char"/>
          <w:rFonts w:cs="Times New Roman"/>
          <w:color w:val="156082" w:themeColor="accent1"/>
          <w:sz w:val="68"/>
          <w:szCs w:val="68"/>
        </w:rPr>
        <w:t>C</w:t>
      </w:r>
      <w:r w:rsidR="006B7876">
        <w:rPr>
          <w:rStyle w:val="Heading2Char"/>
          <w:rFonts w:cs="Times New Roman"/>
          <w:color w:val="156082" w:themeColor="accent1"/>
          <w:sz w:val="68"/>
          <w:szCs w:val="68"/>
        </w:rPr>
        <w:t>ommencement of n</w:t>
      </w:r>
      <w:r w:rsidR="006B7876" w:rsidRPr="00A63AA5">
        <w:rPr>
          <w:rStyle w:val="Heading2Char"/>
          <w:rFonts w:cs="Times New Roman"/>
          <w:color w:val="156082" w:themeColor="accent1"/>
          <w:sz w:val="68"/>
          <w:szCs w:val="68"/>
        </w:rPr>
        <w:t>ew merger control</w:t>
      </w:r>
      <w:r w:rsidR="006B7876" w:rsidRPr="00A63AA5">
        <w:t xml:space="preserve"> regi</w:t>
      </w:r>
      <w:r w:rsidR="006B7876">
        <w:t>m</w:t>
      </w:r>
      <w:r w:rsidR="006B7876" w:rsidRPr="00A63AA5">
        <w:t>e and intera</w:t>
      </w:r>
      <w:r w:rsidR="006B7876">
        <w:t>c</w:t>
      </w:r>
      <w:r w:rsidR="006B7876" w:rsidRPr="00A63AA5">
        <w:t>tion wit</w:t>
      </w:r>
      <w:r w:rsidR="006B7876">
        <w:t>h</w:t>
      </w:r>
      <w:r w:rsidR="006B7876" w:rsidRPr="00A63AA5">
        <w:t xml:space="preserve"> the foreign investment framework</w:t>
      </w:r>
    </w:p>
    <w:p w14:paraId="736D3E05" w14:textId="77777777" w:rsidR="006B7876" w:rsidRDefault="006B7876" w:rsidP="006B7876">
      <w:pPr>
        <w:rPr>
          <w:rFonts w:asciiTheme="minorHAnsi" w:hAnsiTheme="minorHAnsi" w:cstheme="minorHAnsi"/>
          <w:color w:val="000000" w:themeColor="text1"/>
        </w:rPr>
      </w:pPr>
      <w:r w:rsidRPr="00440FAB">
        <w:rPr>
          <w:rFonts w:asciiTheme="minorHAnsi" w:hAnsiTheme="minorHAnsi" w:cstheme="minorHAnsi"/>
        </w:rPr>
        <w:t xml:space="preserve">From 1 January 2026, a new mandatory merger control regime will commence for notifying the Australian Competition and Consumer Commission (ACCC) </w:t>
      </w:r>
      <w:r>
        <w:rPr>
          <w:rFonts w:asciiTheme="minorHAnsi" w:hAnsiTheme="minorHAnsi" w:cstheme="minorHAnsi"/>
        </w:rPr>
        <w:t xml:space="preserve">of proposed </w:t>
      </w:r>
      <w:r w:rsidRPr="00440FAB">
        <w:rPr>
          <w:rFonts w:asciiTheme="minorHAnsi" w:hAnsiTheme="minorHAnsi" w:cstheme="minorHAnsi"/>
        </w:rPr>
        <w:t>acquisitions that meet</w:t>
      </w:r>
      <w:r>
        <w:rPr>
          <w:rFonts w:asciiTheme="minorHAnsi" w:hAnsiTheme="minorHAnsi" w:cstheme="minorHAnsi"/>
        </w:rPr>
        <w:t xml:space="preserve"> </w:t>
      </w:r>
      <w:r w:rsidRPr="00440FAB">
        <w:rPr>
          <w:rFonts w:asciiTheme="minorHAnsi" w:hAnsiTheme="minorHAnsi" w:cstheme="minorHAnsi"/>
        </w:rPr>
        <w:t xml:space="preserve">certain thresholds. </w:t>
      </w:r>
    </w:p>
    <w:p w14:paraId="40F14618" w14:textId="46D3D8B9" w:rsidR="006B7876" w:rsidRDefault="006B7876" w:rsidP="006B7876">
      <w:pPr>
        <w:rPr>
          <w:rFonts w:asciiTheme="minorHAnsi" w:hAnsiTheme="minorHAnsi" w:cstheme="minorHAnsi"/>
        </w:rPr>
      </w:pPr>
      <w:r w:rsidRPr="00207259">
        <w:rPr>
          <w:rFonts w:asciiTheme="minorHAnsi" w:hAnsiTheme="minorHAnsi" w:cstheme="minorHAnsi"/>
          <w:color w:val="000000" w:themeColor="text1"/>
        </w:rPr>
        <w:t xml:space="preserve">The Foreign Investment Portal </w:t>
      </w:r>
      <w:r>
        <w:rPr>
          <w:rFonts w:asciiTheme="minorHAnsi" w:hAnsiTheme="minorHAnsi" w:cstheme="minorHAnsi"/>
          <w:color w:val="000000" w:themeColor="text1"/>
        </w:rPr>
        <w:t>is being updated</w:t>
      </w:r>
      <w:r w:rsidRPr="00207259">
        <w:rPr>
          <w:rFonts w:asciiTheme="minorHAnsi" w:hAnsiTheme="minorHAnsi" w:cstheme="minorHAnsi"/>
          <w:color w:val="000000" w:themeColor="text1"/>
        </w:rPr>
        <w:t xml:space="preserve"> to account for </w:t>
      </w:r>
      <w:r>
        <w:rPr>
          <w:rFonts w:asciiTheme="minorHAnsi" w:hAnsiTheme="minorHAnsi" w:cstheme="minorHAnsi"/>
          <w:color w:val="000000" w:themeColor="text1"/>
        </w:rPr>
        <w:t>the mandatory notification to the ACCC.</w:t>
      </w:r>
      <w:r w:rsidRPr="00F66A84">
        <w:rPr>
          <w:rFonts w:asciiTheme="minorHAnsi" w:hAnsiTheme="minorHAnsi" w:cstheme="minorHAnsi"/>
        </w:rPr>
        <w:t xml:space="preserve"> </w:t>
      </w:r>
    </w:p>
    <w:p w14:paraId="031ADF5D" w14:textId="75872011" w:rsidR="006B7876" w:rsidRPr="00440FAB" w:rsidRDefault="006B7876" w:rsidP="006B7876">
      <w:pPr>
        <w:rPr>
          <w:rFonts w:asciiTheme="minorHAnsi" w:hAnsiTheme="minorHAnsi" w:cstheme="minorHAnsi"/>
        </w:rPr>
      </w:pPr>
      <w:r w:rsidRPr="00440FAB" w:rsidDel="00F66A84">
        <w:rPr>
          <w:rFonts w:asciiTheme="minorHAnsi" w:hAnsiTheme="minorHAnsi" w:cstheme="minorHAnsi"/>
        </w:rPr>
        <w:t xml:space="preserve">While the foreign investment framework is independent of the </w:t>
      </w:r>
      <w:r w:rsidRPr="003B7D51" w:rsidDel="00F66A84">
        <w:rPr>
          <w:rFonts w:asciiTheme="minorHAnsi" w:hAnsiTheme="minorHAnsi" w:cstheme="minorHAnsi"/>
          <w:color w:val="000000" w:themeColor="text1"/>
        </w:rPr>
        <w:t xml:space="preserve">ACCC’s merger control regime, both frameworks require competition to be </w:t>
      </w:r>
      <w:r w:rsidR="00CB1D77">
        <w:rPr>
          <w:rFonts w:asciiTheme="minorHAnsi" w:hAnsiTheme="minorHAnsi" w:cstheme="minorHAnsi"/>
          <w:color w:val="000000" w:themeColor="text1"/>
        </w:rPr>
        <w:t>considered</w:t>
      </w:r>
      <w:r w:rsidRPr="003B7D51" w:rsidDel="00F66A84">
        <w:rPr>
          <w:rFonts w:asciiTheme="minorHAnsi" w:hAnsiTheme="minorHAnsi" w:cstheme="minorHAnsi"/>
          <w:color w:val="000000" w:themeColor="text1"/>
        </w:rPr>
        <w:t>.</w:t>
      </w:r>
      <w:r>
        <w:rPr>
          <w:rFonts w:asciiTheme="minorHAnsi" w:hAnsiTheme="minorHAnsi" w:cstheme="minorHAnsi"/>
        </w:rPr>
        <w:t xml:space="preserve"> </w:t>
      </w:r>
      <w:r w:rsidRPr="00440FAB">
        <w:rPr>
          <w:rFonts w:asciiTheme="minorHAnsi" w:hAnsiTheme="minorHAnsi" w:cstheme="minorHAnsi"/>
        </w:rPr>
        <w:t xml:space="preserve">Competition remains </w:t>
      </w:r>
      <w:r w:rsidR="00984C84">
        <w:rPr>
          <w:rFonts w:asciiTheme="minorHAnsi" w:hAnsiTheme="minorHAnsi" w:cstheme="minorHAnsi"/>
        </w:rPr>
        <w:t>integral</w:t>
      </w:r>
      <w:r w:rsidRPr="00440FAB" w:rsidDel="005C3185">
        <w:rPr>
          <w:rFonts w:asciiTheme="minorHAnsi" w:hAnsiTheme="minorHAnsi" w:cstheme="minorHAnsi"/>
        </w:rPr>
        <w:t xml:space="preserve"> </w:t>
      </w:r>
      <w:r w:rsidR="005C3185">
        <w:rPr>
          <w:rFonts w:asciiTheme="minorHAnsi" w:hAnsiTheme="minorHAnsi" w:cstheme="minorHAnsi"/>
        </w:rPr>
        <w:t xml:space="preserve">to </w:t>
      </w:r>
      <w:r w:rsidRPr="00440FAB">
        <w:rPr>
          <w:rFonts w:asciiTheme="minorHAnsi" w:hAnsiTheme="minorHAnsi" w:cstheme="minorHAnsi"/>
        </w:rPr>
        <w:t xml:space="preserve">national interest considerations for screening in the foreign investment framework under the </w:t>
      </w:r>
      <w:r w:rsidRPr="00440FAB">
        <w:rPr>
          <w:rFonts w:asciiTheme="minorHAnsi" w:hAnsiTheme="minorHAnsi" w:cstheme="minorHAnsi"/>
          <w:i/>
          <w:iCs/>
        </w:rPr>
        <w:t>Foreign Acquisitions and Takeovers Act 1975</w:t>
      </w:r>
      <w:r w:rsidRPr="00440FAB">
        <w:rPr>
          <w:rFonts w:asciiTheme="minorHAnsi" w:hAnsiTheme="minorHAnsi" w:cstheme="minorHAnsi"/>
        </w:rPr>
        <w:t>. Certain acquisitions will continue to be referred to the ACCC by Treasury.</w:t>
      </w:r>
      <w:r w:rsidRPr="0064642D">
        <w:rPr>
          <w:rFonts w:asciiTheme="minorHAnsi" w:hAnsiTheme="minorHAnsi" w:cstheme="minorHAnsi"/>
        </w:rPr>
        <w:t xml:space="preserve"> </w:t>
      </w:r>
      <w:r w:rsidRPr="00440FAB">
        <w:rPr>
          <w:rFonts w:asciiTheme="minorHAnsi" w:hAnsiTheme="minorHAnsi" w:cstheme="minorHAnsi"/>
        </w:rPr>
        <w:t>Treasury will review transactions in tandem with the ACCC under the respective frameworks. </w:t>
      </w:r>
    </w:p>
    <w:p w14:paraId="38F7A1B1" w14:textId="77777777" w:rsidR="006B7876" w:rsidRPr="00440FAB" w:rsidRDefault="006B7876" w:rsidP="006B7876">
      <w:pPr>
        <w:rPr>
          <w:rFonts w:asciiTheme="minorHAnsi" w:hAnsiTheme="minorHAnsi" w:cstheme="minorHAnsi"/>
        </w:rPr>
      </w:pPr>
      <w:r w:rsidRPr="00440FAB">
        <w:rPr>
          <w:rFonts w:asciiTheme="minorHAnsi" w:hAnsiTheme="minorHAnsi" w:cstheme="minorHAnsi"/>
        </w:rPr>
        <w:t>Consistent with the Treasurer’s May 2024 streamlining reforms</w:t>
      </w:r>
      <w:r w:rsidRPr="00440FAB">
        <w:rPr>
          <w:rStyle w:val="FootnoteReference"/>
          <w:rFonts w:asciiTheme="minorHAnsi" w:hAnsiTheme="minorHAnsi" w:cstheme="minorHAnsi"/>
        </w:rPr>
        <w:footnoteReference w:id="2"/>
      </w:r>
      <w:r w:rsidRPr="00440FAB">
        <w:rPr>
          <w:rFonts w:asciiTheme="minorHAnsi" w:hAnsiTheme="minorHAnsi" w:cstheme="minorHAnsi"/>
        </w:rPr>
        <w:t xml:space="preserve">, from 1 January 2026, information provided to the ACCC on competition issues by foreign merger parties will mostly be sufficient for the consideration of competition issues under the foreign investment framework. This will reduce regulatory duplication and streamline assessment of foreign investment </w:t>
      </w:r>
      <w:r>
        <w:rPr>
          <w:rFonts w:asciiTheme="minorHAnsi" w:hAnsiTheme="minorHAnsi" w:cstheme="minorHAnsi"/>
        </w:rPr>
        <w:t>submissions</w:t>
      </w:r>
      <w:r w:rsidRPr="00440FAB">
        <w:rPr>
          <w:rFonts w:asciiTheme="minorHAnsi" w:hAnsiTheme="minorHAnsi" w:cstheme="minorHAnsi"/>
        </w:rPr>
        <w:t>.</w:t>
      </w:r>
    </w:p>
    <w:p w14:paraId="0F02D1E8" w14:textId="77777777" w:rsidR="006B7876" w:rsidRPr="007F4DBF" w:rsidRDefault="006B7876" w:rsidP="006B7876">
      <w:pPr>
        <w:pStyle w:val="Bullet"/>
        <w:rPr>
          <w:rFonts w:asciiTheme="minorHAnsi" w:hAnsiTheme="minorHAnsi" w:cstheme="minorHAnsi"/>
        </w:rPr>
      </w:pPr>
      <w:r>
        <w:rPr>
          <w:rFonts w:asciiTheme="minorHAnsi" w:hAnsiTheme="minorHAnsi" w:cstheme="minorHAnsi"/>
        </w:rPr>
        <w:t>Submission</w:t>
      </w:r>
      <w:r w:rsidRPr="00207259">
        <w:rPr>
          <w:rFonts w:asciiTheme="minorHAnsi" w:hAnsiTheme="minorHAnsi" w:cstheme="minorHAnsi"/>
        </w:rPr>
        <w:t xml:space="preserve">s </w:t>
      </w:r>
      <w:r w:rsidRPr="00207259">
        <w:rPr>
          <w:rFonts w:asciiTheme="minorHAnsi" w:hAnsiTheme="minorHAnsi" w:cstheme="minorBidi"/>
        </w:rPr>
        <w:t>under</w:t>
      </w:r>
      <w:r w:rsidRPr="00207259">
        <w:rPr>
          <w:rFonts w:asciiTheme="minorHAnsi" w:hAnsiTheme="minorHAnsi" w:cstheme="minorHAnsi"/>
        </w:rPr>
        <w:t xml:space="preserve"> the foreign investment framework will require foreign investors to indicate, in the Foreign Investment Portal, whether their acquisition will be notified to the ACCC. </w:t>
      </w:r>
    </w:p>
    <w:p w14:paraId="7A3B6A26" w14:textId="4375AC93" w:rsidR="006B7876" w:rsidRPr="00207259" w:rsidRDefault="006B7876" w:rsidP="006B7876">
      <w:pPr>
        <w:pStyle w:val="Bullet"/>
        <w:rPr>
          <w:rFonts w:asciiTheme="minorHAnsi" w:hAnsiTheme="minorHAnsi" w:cstheme="minorHAnsi"/>
        </w:rPr>
      </w:pPr>
      <w:r w:rsidRPr="00207259">
        <w:rPr>
          <w:rFonts w:asciiTheme="minorHAnsi" w:hAnsiTheme="minorHAnsi" w:cstheme="minorHAnsi"/>
        </w:rPr>
        <w:t>For acquisitions involving foreign investors that are not required to be notified under the ACCC’s merger control regime,</w:t>
      </w:r>
      <w:r>
        <w:rPr>
          <w:rFonts w:asciiTheme="minorHAnsi" w:hAnsiTheme="minorHAnsi" w:cstheme="minorHAnsi"/>
        </w:rPr>
        <w:t xml:space="preserve"> </w:t>
      </w:r>
      <w:r w:rsidRPr="00207259">
        <w:rPr>
          <w:rFonts w:asciiTheme="minorHAnsi" w:hAnsiTheme="minorHAnsi" w:cstheme="minorHAnsi"/>
        </w:rPr>
        <w:t>Treasury may refer these acquisitions under the foreign investment framework to the ACCC for a competition assessment. If Treasury or the ACCC identifies potential competition issues, Treasury will progress the assessment in consultation with the ACCC. In those circumstances, investors may</w:t>
      </w:r>
      <w:r>
        <w:rPr>
          <w:rFonts w:asciiTheme="minorHAnsi" w:hAnsiTheme="minorHAnsi" w:cstheme="minorHAnsi"/>
        </w:rPr>
        <w:t xml:space="preserve"> also</w:t>
      </w:r>
      <w:r w:rsidRPr="00207259">
        <w:rPr>
          <w:rFonts w:asciiTheme="minorHAnsi" w:hAnsiTheme="minorHAnsi" w:cstheme="minorHAnsi"/>
        </w:rPr>
        <w:t xml:space="preserve"> wish to make a voluntary notification to the ACCC to assist with the assessment.</w:t>
      </w:r>
    </w:p>
    <w:p w14:paraId="54642ED6" w14:textId="47EA38BC" w:rsidR="006B7876" w:rsidRPr="00207259" w:rsidRDefault="006B7876" w:rsidP="006B7876">
      <w:pPr>
        <w:pStyle w:val="Bullet"/>
        <w:rPr>
          <w:rFonts w:asciiTheme="minorHAnsi" w:hAnsiTheme="minorHAnsi" w:cstheme="minorHAnsi"/>
        </w:rPr>
      </w:pPr>
      <w:r w:rsidRPr="00207259">
        <w:rPr>
          <w:rFonts w:asciiTheme="minorHAnsi" w:hAnsiTheme="minorHAnsi" w:cstheme="minorHAnsi"/>
        </w:rPr>
        <w:lastRenderedPageBreak/>
        <w:t>For acquisitions involving foreign investors that are required to be notified under the ACCC’s merger control regime,</w:t>
      </w:r>
      <w:r w:rsidR="000D1B6A">
        <w:rPr>
          <w:rFonts w:asciiTheme="minorHAnsi" w:hAnsiTheme="minorHAnsi" w:cstheme="minorHAnsi"/>
        </w:rPr>
        <w:t xml:space="preserve"> </w:t>
      </w:r>
      <w:r w:rsidR="000D1B6A" w:rsidRPr="00207259">
        <w:rPr>
          <w:rFonts w:asciiTheme="minorHAnsi" w:hAnsiTheme="minorHAnsi" w:cstheme="minorHAnsi"/>
        </w:rPr>
        <w:t>or where they choose to voluntarily notify the ACCC of acquisitions which are below the notification thresholds</w:t>
      </w:r>
      <w:r w:rsidR="000D1B6A">
        <w:rPr>
          <w:rFonts w:asciiTheme="minorHAnsi" w:hAnsiTheme="minorHAnsi" w:cstheme="minorHAnsi"/>
        </w:rPr>
        <w:t>,</w:t>
      </w:r>
      <w:r w:rsidRPr="00207259">
        <w:rPr>
          <w:rFonts w:asciiTheme="minorHAnsi" w:hAnsiTheme="minorHAnsi" w:cstheme="minorHAnsi"/>
        </w:rPr>
        <w:t xml:space="preserve"> a decision by the ACCC on a notification or a notification waiver application is required for the finalisation of the competition aspect of the assessment under the foreign investment framework. The national interest assessment of the acquisition under the foreign investment framework will continue to be progressed by Treasury while the ACCC conducts its assessment under the merger control regime.</w:t>
      </w:r>
    </w:p>
    <w:p w14:paraId="2265AB79" w14:textId="77777777" w:rsidR="006B7876" w:rsidRPr="00440FAB" w:rsidRDefault="006B7876" w:rsidP="006B7876">
      <w:pPr>
        <w:rPr>
          <w:rFonts w:asciiTheme="minorHAnsi" w:hAnsiTheme="minorHAnsi" w:cstheme="minorHAnsi"/>
        </w:rPr>
      </w:pPr>
      <w:r w:rsidRPr="00440FAB">
        <w:rPr>
          <w:rFonts w:asciiTheme="minorHAnsi" w:hAnsiTheme="minorHAnsi" w:cstheme="minorHAnsi"/>
        </w:rPr>
        <w:t xml:space="preserve">Businesses can decide which application to submit first (that is, whether to notify their acquisition to the ACCC and then submit a foreign investment application, or do this simultaneously). While the timing and sequencing is ultimately up to the parties, factors that may be relevant in deciding when to engage with the ACCC and Treasury include: </w:t>
      </w:r>
    </w:p>
    <w:p w14:paraId="317011BB" w14:textId="052602DC" w:rsidR="006B7876" w:rsidRPr="00440FAB" w:rsidRDefault="006B7876" w:rsidP="006B7876">
      <w:pPr>
        <w:pStyle w:val="Bullet"/>
        <w:rPr>
          <w:rFonts w:asciiTheme="minorHAnsi" w:hAnsiTheme="minorHAnsi" w:cstheme="minorHAnsi"/>
        </w:rPr>
      </w:pPr>
      <w:r>
        <w:rPr>
          <w:rFonts w:asciiTheme="minorHAnsi" w:hAnsiTheme="minorHAnsi" w:cstheme="minorHAnsi"/>
        </w:rPr>
        <w:t>W</w:t>
      </w:r>
      <w:r w:rsidRPr="00440FAB">
        <w:rPr>
          <w:rFonts w:asciiTheme="minorHAnsi" w:hAnsiTheme="minorHAnsi" w:cstheme="minorHAnsi"/>
        </w:rPr>
        <w:t>hether the acquisition may raise competition concerns</w:t>
      </w:r>
      <w:r w:rsidR="003E42A6">
        <w:rPr>
          <w:rFonts w:asciiTheme="minorHAnsi" w:hAnsiTheme="minorHAnsi" w:cstheme="minorHAnsi"/>
        </w:rPr>
        <w:t>.</w:t>
      </w:r>
      <w:r w:rsidRPr="00440FAB">
        <w:rPr>
          <w:rFonts w:asciiTheme="minorHAnsi" w:hAnsiTheme="minorHAnsi" w:cstheme="minorHAnsi"/>
        </w:rPr>
        <w:t xml:space="preserve"> </w:t>
      </w:r>
    </w:p>
    <w:p w14:paraId="458E2647" w14:textId="74AFBCE6" w:rsidR="006B7876" w:rsidRPr="003E42A6" w:rsidRDefault="003E42A6" w:rsidP="006B7876">
      <w:pPr>
        <w:pStyle w:val="Bullet"/>
        <w:rPr>
          <w:rFonts w:asciiTheme="minorHAnsi" w:hAnsiTheme="minorHAnsi" w:cstheme="minorHAnsi"/>
        </w:rPr>
      </w:pPr>
      <w:r w:rsidRPr="003E42A6">
        <w:rPr>
          <w:rFonts w:asciiTheme="minorHAnsi" w:hAnsiTheme="minorHAnsi" w:cstheme="minorHAnsi"/>
        </w:rPr>
        <w:t>W</w:t>
      </w:r>
      <w:r w:rsidR="006B7876" w:rsidRPr="00440FAB">
        <w:rPr>
          <w:rFonts w:asciiTheme="minorHAnsi" w:hAnsiTheme="minorHAnsi" w:cstheme="minorHAnsi"/>
        </w:rPr>
        <w:t>hether</w:t>
      </w:r>
      <w:r w:rsidR="006B7876" w:rsidRPr="003E42A6">
        <w:rPr>
          <w:rFonts w:asciiTheme="minorHAnsi" w:hAnsiTheme="minorHAnsi" w:cstheme="minorHAnsi"/>
        </w:rPr>
        <w:t xml:space="preserve"> the acquisition may raise other national interest concerns</w:t>
      </w:r>
      <w:r>
        <w:rPr>
          <w:rFonts w:asciiTheme="minorHAnsi" w:hAnsiTheme="minorHAnsi" w:cstheme="minorHAnsi"/>
        </w:rPr>
        <w:t>.</w:t>
      </w:r>
      <w:r w:rsidR="006B7876" w:rsidRPr="00440FAB">
        <w:rPr>
          <w:rFonts w:asciiTheme="minorHAnsi" w:hAnsiTheme="minorHAnsi" w:cstheme="minorHAnsi"/>
        </w:rPr>
        <w:t xml:space="preserve"> </w:t>
      </w:r>
      <w:r w:rsidR="0093761C">
        <w:rPr>
          <w:rFonts w:asciiTheme="minorHAnsi" w:hAnsiTheme="minorHAnsi" w:cstheme="minorHAnsi"/>
        </w:rPr>
        <w:t>T</w:t>
      </w:r>
      <w:r w:rsidR="006B7876" w:rsidRPr="00440FAB">
        <w:rPr>
          <w:rFonts w:asciiTheme="minorHAnsi" w:hAnsiTheme="minorHAnsi" w:cstheme="minorHAnsi"/>
        </w:rPr>
        <w:t>he</w:t>
      </w:r>
      <w:r w:rsidR="006B7876" w:rsidRPr="003E42A6">
        <w:rPr>
          <w:rFonts w:asciiTheme="minorHAnsi" w:hAnsiTheme="minorHAnsi" w:cstheme="minorHAnsi"/>
        </w:rPr>
        <w:t xml:space="preserve"> expected completion date for the acquisition, noting that parties to notified acquisitions approved by the ACCC have up to 12 months from the date of the ACCC’s determination to put the acquisition into effect before the notification becomes stale and re-notification to the ACCC is required.</w:t>
      </w:r>
    </w:p>
    <w:p w14:paraId="795F390C" w14:textId="6BAA83EC" w:rsidR="006B7876" w:rsidRPr="00440FAB" w:rsidRDefault="006B7876" w:rsidP="006B7876">
      <w:pPr>
        <w:pStyle w:val="Heading3"/>
        <w:rPr>
          <w:rFonts w:asciiTheme="minorHAnsi" w:hAnsiTheme="minorHAnsi" w:cstheme="minorHAnsi"/>
        </w:rPr>
      </w:pPr>
      <w:r w:rsidRPr="00440FAB">
        <w:rPr>
          <w:rFonts w:asciiTheme="minorHAnsi" w:hAnsiTheme="minorHAnsi" w:cstheme="minorHAnsi"/>
        </w:rPr>
        <w:t xml:space="preserve">What will change in the Foreign Investment Portal from </w:t>
      </w:r>
      <w:r>
        <w:rPr>
          <w:rFonts w:asciiTheme="minorHAnsi" w:hAnsiTheme="minorHAnsi" w:cstheme="minorHAnsi"/>
        </w:rPr>
        <w:t>1</w:t>
      </w:r>
      <w:r w:rsidR="00951628">
        <w:rPr>
          <w:rFonts w:asciiTheme="minorHAnsi" w:hAnsiTheme="minorHAnsi" w:cstheme="minorHAnsi"/>
        </w:rPr>
        <w:t>7</w:t>
      </w:r>
      <w:r>
        <w:rPr>
          <w:rFonts w:asciiTheme="minorHAnsi" w:hAnsiTheme="minorHAnsi" w:cstheme="minorHAnsi"/>
        </w:rPr>
        <w:t xml:space="preserve"> </w:t>
      </w:r>
      <w:r w:rsidR="00951628">
        <w:rPr>
          <w:rFonts w:asciiTheme="minorHAnsi" w:hAnsiTheme="minorHAnsi" w:cstheme="minorHAnsi"/>
        </w:rPr>
        <w:t xml:space="preserve">January </w:t>
      </w:r>
      <w:r w:rsidRPr="00440FAB">
        <w:rPr>
          <w:rFonts w:asciiTheme="minorHAnsi" w:hAnsiTheme="minorHAnsi" w:cstheme="minorHAnsi"/>
        </w:rPr>
        <w:t>202</w:t>
      </w:r>
      <w:r w:rsidR="00951628">
        <w:rPr>
          <w:rFonts w:asciiTheme="minorHAnsi" w:hAnsiTheme="minorHAnsi" w:cstheme="minorHAnsi"/>
        </w:rPr>
        <w:t>6</w:t>
      </w:r>
      <w:r w:rsidRPr="00440FAB">
        <w:rPr>
          <w:rFonts w:asciiTheme="minorHAnsi" w:hAnsiTheme="minorHAnsi" w:cstheme="minorHAnsi"/>
        </w:rPr>
        <w:t>?</w:t>
      </w:r>
    </w:p>
    <w:p w14:paraId="515657FD" w14:textId="2840A56C" w:rsidR="001C3590" w:rsidRDefault="00BC0423" w:rsidP="006B7876">
      <w:pPr>
        <w:rPr>
          <w:rFonts w:asciiTheme="minorHAnsi" w:hAnsiTheme="minorHAnsi" w:cstheme="minorHAnsi"/>
        </w:rPr>
      </w:pPr>
      <w:r>
        <w:rPr>
          <w:rFonts w:asciiTheme="minorHAnsi" w:hAnsiTheme="minorHAnsi" w:cstheme="minorHAnsi"/>
        </w:rPr>
        <w:t xml:space="preserve">The questions on competition risks are </w:t>
      </w:r>
      <w:proofErr w:type="gramStart"/>
      <w:r>
        <w:rPr>
          <w:rFonts w:asciiTheme="minorHAnsi" w:hAnsiTheme="minorHAnsi" w:cstheme="minorHAnsi"/>
        </w:rPr>
        <w:t>similar to</w:t>
      </w:r>
      <w:proofErr w:type="gramEnd"/>
      <w:r w:rsidR="00307E05">
        <w:rPr>
          <w:rFonts w:asciiTheme="minorHAnsi" w:hAnsiTheme="minorHAnsi" w:cstheme="minorHAnsi"/>
        </w:rPr>
        <w:t xml:space="preserve"> the existing questions</w:t>
      </w:r>
      <w:r>
        <w:rPr>
          <w:rFonts w:asciiTheme="minorHAnsi" w:hAnsiTheme="minorHAnsi" w:cstheme="minorHAnsi"/>
        </w:rPr>
        <w:t xml:space="preserve"> in the Foreign Investment Portal. </w:t>
      </w:r>
    </w:p>
    <w:p w14:paraId="551C7798" w14:textId="61F00E02" w:rsidR="006B7876" w:rsidRPr="00440FAB" w:rsidRDefault="006B7876" w:rsidP="006B7876">
      <w:pPr>
        <w:rPr>
          <w:rFonts w:asciiTheme="minorHAnsi" w:hAnsiTheme="minorHAnsi" w:cstheme="minorHAnsi"/>
        </w:rPr>
      </w:pPr>
      <w:r w:rsidRPr="00440FAB">
        <w:rPr>
          <w:rFonts w:asciiTheme="minorHAnsi" w:hAnsiTheme="minorHAnsi" w:cstheme="minorHAnsi"/>
        </w:rPr>
        <w:t xml:space="preserve">To </w:t>
      </w:r>
      <w:r w:rsidR="00BC0423">
        <w:rPr>
          <w:rFonts w:asciiTheme="minorHAnsi" w:hAnsiTheme="minorHAnsi" w:cstheme="minorHAnsi"/>
        </w:rPr>
        <w:t xml:space="preserve">continue to </w:t>
      </w:r>
      <w:r w:rsidRPr="00440FAB">
        <w:rPr>
          <w:rFonts w:asciiTheme="minorHAnsi" w:hAnsiTheme="minorHAnsi" w:cstheme="minorHAnsi"/>
        </w:rPr>
        <w:t xml:space="preserve">minimise the burden on applicants, the information that foreign investors need to provide to Treasury </w:t>
      </w:r>
      <w:r>
        <w:rPr>
          <w:rFonts w:asciiTheme="minorHAnsi" w:hAnsiTheme="minorHAnsi" w:cstheme="minorHAnsi"/>
        </w:rPr>
        <w:t>via the Foreign Investment Portal has</w:t>
      </w:r>
      <w:r w:rsidRPr="00440FAB">
        <w:rPr>
          <w:rFonts w:asciiTheme="minorHAnsi" w:hAnsiTheme="minorHAnsi" w:cstheme="minorHAnsi"/>
        </w:rPr>
        <w:t xml:space="preserve"> be</w:t>
      </w:r>
      <w:r>
        <w:rPr>
          <w:rFonts w:asciiTheme="minorHAnsi" w:hAnsiTheme="minorHAnsi" w:cstheme="minorHAnsi"/>
        </w:rPr>
        <w:t>en</w:t>
      </w:r>
      <w:r w:rsidRPr="00440FAB">
        <w:rPr>
          <w:rFonts w:asciiTheme="minorHAnsi" w:hAnsiTheme="minorHAnsi" w:cstheme="minorHAnsi"/>
        </w:rPr>
        <w:t xml:space="preserve"> calibrated according to whether the </w:t>
      </w:r>
      <w:r>
        <w:rPr>
          <w:rFonts w:asciiTheme="minorHAnsi" w:hAnsiTheme="minorHAnsi" w:cstheme="minorHAnsi"/>
        </w:rPr>
        <w:t xml:space="preserve">proposed </w:t>
      </w:r>
      <w:r w:rsidRPr="00440FAB">
        <w:rPr>
          <w:rFonts w:asciiTheme="minorHAnsi" w:hAnsiTheme="minorHAnsi" w:cstheme="minorHAnsi"/>
        </w:rPr>
        <w:t xml:space="preserve">acquisition is: </w:t>
      </w:r>
    </w:p>
    <w:p w14:paraId="0D4D1BE7" w14:textId="3AA9BBDE" w:rsidR="00C14E05" w:rsidRPr="00B94E77" w:rsidRDefault="006B7876" w:rsidP="00B94E77">
      <w:pPr>
        <w:pStyle w:val="Bullet"/>
        <w:rPr>
          <w:rFonts w:asciiTheme="minorHAnsi" w:hAnsiTheme="minorHAnsi" w:cstheme="minorHAnsi"/>
        </w:rPr>
      </w:pPr>
      <w:r w:rsidRPr="00F36E15">
        <w:rPr>
          <w:rFonts w:asciiTheme="minorHAnsi" w:hAnsiTheme="minorHAnsi" w:cstheme="minorHAnsi"/>
          <w:i/>
          <w:iCs/>
          <w:u w:val="single"/>
        </w:rPr>
        <w:t xml:space="preserve">Required </w:t>
      </w:r>
      <w:r w:rsidRPr="00440FAB">
        <w:rPr>
          <w:rFonts w:asciiTheme="minorHAnsi" w:hAnsiTheme="minorHAnsi" w:cstheme="minorHAnsi"/>
          <w:u w:val="single"/>
        </w:rPr>
        <w:t>to be notified</w:t>
      </w:r>
      <w:r>
        <w:rPr>
          <w:rFonts w:asciiTheme="minorHAnsi" w:hAnsiTheme="minorHAnsi" w:cstheme="minorHAnsi"/>
          <w:u w:val="single"/>
        </w:rPr>
        <w:t xml:space="preserve"> to the ACCC</w:t>
      </w:r>
      <w:r w:rsidR="00BC0423">
        <w:rPr>
          <w:rFonts w:asciiTheme="minorHAnsi" w:hAnsiTheme="minorHAnsi" w:cstheme="minorHAnsi"/>
          <w:u w:val="single"/>
        </w:rPr>
        <w:t xml:space="preserve"> </w:t>
      </w:r>
      <w:r w:rsidRPr="00440FAB">
        <w:rPr>
          <w:rFonts w:asciiTheme="minorHAnsi" w:hAnsiTheme="minorHAnsi" w:cstheme="minorHAnsi"/>
          <w:u w:val="single"/>
        </w:rPr>
        <w:t xml:space="preserve">or </w:t>
      </w:r>
      <w:r w:rsidR="00773EC5" w:rsidRPr="00F36E15">
        <w:rPr>
          <w:rFonts w:asciiTheme="minorHAnsi" w:hAnsiTheme="minorHAnsi" w:cstheme="minorHAnsi"/>
          <w:i/>
          <w:iCs/>
          <w:u w:val="single"/>
        </w:rPr>
        <w:t>has</w:t>
      </w:r>
      <w:r w:rsidR="00773EC5">
        <w:rPr>
          <w:rFonts w:asciiTheme="minorHAnsi" w:hAnsiTheme="minorHAnsi" w:cstheme="minorHAnsi"/>
          <w:u w:val="single"/>
        </w:rPr>
        <w:t xml:space="preserve"> </w:t>
      </w:r>
      <w:r w:rsidRPr="00440FAB">
        <w:rPr>
          <w:rFonts w:asciiTheme="minorHAnsi" w:hAnsiTheme="minorHAnsi" w:cstheme="minorHAnsi"/>
          <w:u w:val="single"/>
        </w:rPr>
        <w:t>been granted a notification waiver</w:t>
      </w:r>
      <w:r>
        <w:rPr>
          <w:rFonts w:asciiTheme="minorHAnsi" w:hAnsiTheme="minorHAnsi" w:cstheme="minorHAnsi"/>
          <w:u w:val="single"/>
        </w:rPr>
        <w:t xml:space="preserve"> by the ACCC</w:t>
      </w:r>
      <w:r w:rsidRPr="00440FAB">
        <w:rPr>
          <w:rFonts w:asciiTheme="minorHAnsi" w:hAnsiTheme="minorHAnsi" w:cstheme="minorHAnsi"/>
        </w:rPr>
        <w:t xml:space="preserve"> – parties should provide their reference number for their notification or waiver application </w:t>
      </w:r>
      <w:r w:rsidR="00307E05">
        <w:rPr>
          <w:rFonts w:asciiTheme="minorHAnsi" w:hAnsiTheme="minorHAnsi" w:cstheme="minorHAnsi"/>
        </w:rPr>
        <w:t xml:space="preserve">and the outcome (when received) </w:t>
      </w:r>
      <w:r w:rsidR="001079EF">
        <w:rPr>
          <w:rFonts w:asciiTheme="minorHAnsi" w:hAnsiTheme="minorHAnsi" w:cstheme="minorHAnsi"/>
        </w:rPr>
        <w:t xml:space="preserve">to Treasury </w:t>
      </w:r>
      <w:r w:rsidRPr="00440FAB">
        <w:rPr>
          <w:rFonts w:asciiTheme="minorHAnsi" w:hAnsiTheme="minorHAnsi" w:cstheme="minorHAnsi"/>
        </w:rPr>
        <w:t xml:space="preserve">as part of their foreign investment application. Businesses generally will only be required to provide information relating to the effects on competition to the ACCC and will not need to provide this information to Treasury. </w:t>
      </w:r>
    </w:p>
    <w:p w14:paraId="0C57632A" w14:textId="4604537F" w:rsidR="00AC5DFA" w:rsidRPr="00B94E77" w:rsidRDefault="00AC5DFA" w:rsidP="00B94E77">
      <w:pPr>
        <w:pStyle w:val="Bullet"/>
        <w:rPr>
          <w:rFonts w:asciiTheme="minorHAnsi" w:hAnsiTheme="minorHAnsi" w:cstheme="minorHAnsi"/>
          <w:u w:val="single"/>
        </w:rPr>
      </w:pPr>
      <w:r w:rsidRPr="00F36E15">
        <w:rPr>
          <w:rFonts w:asciiTheme="minorHAnsi" w:hAnsiTheme="minorHAnsi" w:cstheme="minorHAnsi"/>
          <w:i/>
          <w:iCs/>
          <w:u w:val="single"/>
        </w:rPr>
        <w:t>Not required</w:t>
      </w:r>
      <w:r w:rsidRPr="00AC5DFA">
        <w:rPr>
          <w:rFonts w:asciiTheme="minorHAnsi" w:hAnsiTheme="minorHAnsi" w:cstheme="minorHAnsi"/>
          <w:u w:val="single"/>
        </w:rPr>
        <w:t xml:space="preserve"> to be notified to the ACCC and </w:t>
      </w:r>
      <w:r w:rsidRPr="00F36E15">
        <w:rPr>
          <w:rFonts w:asciiTheme="minorHAnsi" w:hAnsiTheme="minorHAnsi" w:cstheme="minorHAnsi"/>
          <w:i/>
          <w:iCs/>
          <w:u w:val="single"/>
        </w:rPr>
        <w:t>has</w:t>
      </w:r>
      <w:r w:rsidRPr="00AC5DFA">
        <w:rPr>
          <w:rFonts w:asciiTheme="minorHAnsi" w:hAnsiTheme="minorHAnsi" w:cstheme="minorHAnsi"/>
          <w:u w:val="single"/>
        </w:rPr>
        <w:t xml:space="preserve"> been voluntarily notified to the ACCC</w:t>
      </w:r>
      <w:r w:rsidR="00B94E77">
        <w:rPr>
          <w:rFonts w:asciiTheme="minorHAnsi" w:hAnsiTheme="minorHAnsi" w:cstheme="minorHAnsi"/>
          <w:u w:val="single"/>
        </w:rPr>
        <w:t xml:space="preserve"> - </w:t>
      </w:r>
      <w:r w:rsidR="00B94E77">
        <w:rPr>
          <w:rFonts w:asciiTheme="minorHAnsi" w:hAnsiTheme="minorHAnsi" w:cstheme="minorHAnsi"/>
        </w:rPr>
        <w:t>a</w:t>
      </w:r>
      <w:r w:rsidRPr="00B94E77">
        <w:rPr>
          <w:rFonts w:asciiTheme="minorHAnsi" w:hAnsiTheme="minorHAnsi" w:cstheme="minorHAnsi"/>
        </w:rPr>
        <w:t>cquisitions that are voluntarily notified become subject to the requirements of the merger control regime.</w:t>
      </w:r>
      <w:r w:rsidR="005311D9">
        <w:rPr>
          <w:rFonts w:asciiTheme="minorHAnsi" w:hAnsiTheme="minorHAnsi" w:cstheme="minorHAnsi"/>
        </w:rPr>
        <w:t xml:space="preserve"> </w:t>
      </w:r>
      <w:r w:rsidR="008C7E7A" w:rsidRPr="00B94E77">
        <w:rPr>
          <w:rFonts w:asciiTheme="minorHAnsi" w:hAnsiTheme="minorHAnsi" w:cstheme="minorHAnsi"/>
        </w:rPr>
        <w:t>The ACCC will follow the same process as acquisitions that must be notified.</w:t>
      </w:r>
      <w:r w:rsidR="008C7E7A">
        <w:rPr>
          <w:rFonts w:asciiTheme="minorHAnsi" w:hAnsiTheme="minorHAnsi" w:cstheme="minorHAnsi"/>
        </w:rPr>
        <w:t xml:space="preserve"> </w:t>
      </w:r>
      <w:r w:rsidR="005311D9">
        <w:rPr>
          <w:rFonts w:asciiTheme="minorHAnsi" w:hAnsiTheme="minorHAnsi" w:cstheme="minorHAnsi"/>
        </w:rPr>
        <w:t>P</w:t>
      </w:r>
      <w:r w:rsidR="005311D9" w:rsidRPr="00440FAB">
        <w:rPr>
          <w:rFonts w:asciiTheme="minorHAnsi" w:hAnsiTheme="minorHAnsi" w:cstheme="minorHAnsi"/>
        </w:rPr>
        <w:t xml:space="preserve">arties should provide their reference number for their notification or waiver application </w:t>
      </w:r>
      <w:r w:rsidR="005311D9">
        <w:rPr>
          <w:rFonts w:asciiTheme="minorHAnsi" w:hAnsiTheme="minorHAnsi" w:cstheme="minorHAnsi"/>
        </w:rPr>
        <w:t xml:space="preserve">and the outcome (when received) to Treasury </w:t>
      </w:r>
      <w:r w:rsidR="005311D9" w:rsidRPr="00440FAB">
        <w:rPr>
          <w:rFonts w:asciiTheme="minorHAnsi" w:hAnsiTheme="minorHAnsi" w:cstheme="minorHAnsi"/>
        </w:rPr>
        <w:t xml:space="preserve">as part of their foreign investment application. Businesses generally will only be required to provide information relating to the effects on competition to the ACCC and will not need to provide this information to Treasury. </w:t>
      </w:r>
    </w:p>
    <w:p w14:paraId="64BE5338" w14:textId="3D922C47" w:rsidR="006B7876" w:rsidRPr="00440FAB" w:rsidRDefault="006B7876" w:rsidP="006B7876">
      <w:pPr>
        <w:pStyle w:val="Bullet"/>
        <w:rPr>
          <w:rFonts w:asciiTheme="minorHAnsi" w:hAnsiTheme="minorHAnsi" w:cstheme="minorHAnsi"/>
        </w:rPr>
      </w:pPr>
      <w:r w:rsidRPr="00F36E15">
        <w:rPr>
          <w:rFonts w:asciiTheme="minorHAnsi" w:hAnsiTheme="minorHAnsi" w:cstheme="minorHAnsi"/>
          <w:i/>
          <w:u w:val="single"/>
        </w:rPr>
        <w:t>Not required</w:t>
      </w:r>
      <w:r w:rsidRPr="00440FAB">
        <w:rPr>
          <w:rFonts w:asciiTheme="minorHAnsi" w:hAnsiTheme="minorHAnsi" w:cstheme="minorHAnsi"/>
          <w:u w:val="single"/>
        </w:rPr>
        <w:t xml:space="preserve"> to be notified </w:t>
      </w:r>
      <w:r>
        <w:rPr>
          <w:rFonts w:asciiTheme="minorHAnsi" w:hAnsiTheme="minorHAnsi" w:cstheme="minorHAnsi"/>
          <w:u w:val="single"/>
        </w:rPr>
        <w:t xml:space="preserve">to the ACCC </w:t>
      </w:r>
      <w:r w:rsidRPr="00440FAB">
        <w:rPr>
          <w:rFonts w:asciiTheme="minorHAnsi" w:hAnsiTheme="minorHAnsi" w:cstheme="minorHAnsi"/>
          <w:u w:val="single"/>
        </w:rPr>
        <w:t xml:space="preserve">and </w:t>
      </w:r>
      <w:r w:rsidRPr="00F36E15">
        <w:rPr>
          <w:rFonts w:asciiTheme="minorHAnsi" w:hAnsiTheme="minorHAnsi" w:cstheme="minorHAnsi"/>
          <w:i/>
          <w:u w:val="single"/>
        </w:rPr>
        <w:t>has not</w:t>
      </w:r>
      <w:r w:rsidRPr="00440FAB">
        <w:rPr>
          <w:rFonts w:asciiTheme="minorHAnsi" w:hAnsiTheme="minorHAnsi" w:cstheme="minorHAnsi"/>
          <w:u w:val="single"/>
        </w:rPr>
        <w:t xml:space="preserve"> been voluntarily notified to the ACCC</w:t>
      </w:r>
      <w:r w:rsidRPr="00440FAB">
        <w:rPr>
          <w:rFonts w:asciiTheme="minorHAnsi" w:hAnsiTheme="minorHAnsi" w:cstheme="minorHAnsi"/>
        </w:rPr>
        <w:t xml:space="preserve"> – businesses may be asked to provide a base level of information relating to competition if they have interests in Australia, as part of screening under the </w:t>
      </w:r>
      <w:r w:rsidRPr="00207259">
        <w:rPr>
          <w:rFonts w:asciiTheme="minorHAnsi" w:hAnsiTheme="minorHAnsi" w:cstheme="minorHAnsi"/>
          <w:i/>
          <w:iCs/>
        </w:rPr>
        <w:t xml:space="preserve">Foreign </w:t>
      </w:r>
      <w:r w:rsidRPr="00207259">
        <w:rPr>
          <w:rFonts w:asciiTheme="minorHAnsi" w:hAnsiTheme="minorHAnsi" w:cstheme="minorHAnsi"/>
          <w:i/>
          <w:iCs/>
        </w:rPr>
        <w:lastRenderedPageBreak/>
        <w:t>Acquisitions and Takeovers Act 1975</w:t>
      </w:r>
      <w:r w:rsidR="00F97AA7">
        <w:rPr>
          <w:rFonts w:asciiTheme="minorHAnsi" w:hAnsiTheme="minorHAnsi" w:cstheme="minorHAnsi"/>
          <w:i/>
          <w:iCs/>
        </w:rPr>
        <w:t xml:space="preserve"> </w:t>
      </w:r>
      <w:r w:rsidR="00F97AA7">
        <w:rPr>
          <w:rFonts w:asciiTheme="minorHAnsi" w:hAnsiTheme="minorHAnsi" w:cstheme="minorHAnsi"/>
        </w:rPr>
        <w:t>in the Foreign Investment Portal</w:t>
      </w:r>
      <w:r w:rsidRPr="00440FAB">
        <w:rPr>
          <w:rFonts w:asciiTheme="minorHAnsi" w:hAnsiTheme="minorHAnsi" w:cstheme="minorHAnsi"/>
        </w:rPr>
        <w:t>. This information will be provided to the ACCC by Treasury to enable the ACCC to provide a competition assessment of the acquisition.</w:t>
      </w:r>
    </w:p>
    <w:p w14:paraId="748B6C39" w14:textId="77777777" w:rsidR="006B7876" w:rsidRPr="00440FAB" w:rsidRDefault="006B7876" w:rsidP="006B7876">
      <w:pPr>
        <w:rPr>
          <w:rFonts w:asciiTheme="minorHAnsi" w:hAnsiTheme="minorHAnsi" w:cstheme="minorHAnsi"/>
        </w:rPr>
      </w:pPr>
      <w:r w:rsidRPr="00B9733A">
        <w:rPr>
          <w:rFonts w:asciiTheme="minorHAnsi" w:hAnsiTheme="minorHAnsi" w:cstheme="minorHAnsi"/>
        </w:rPr>
        <w:t xml:space="preserve">Acquisitions that are below the notification thresholds that are not voluntarily notified to the ACCC are also subject to the section 50 of the </w:t>
      </w:r>
      <w:r w:rsidRPr="00B9733A">
        <w:rPr>
          <w:rFonts w:asciiTheme="minorHAnsi" w:hAnsiTheme="minorHAnsi" w:cstheme="minorHAnsi"/>
          <w:i/>
          <w:iCs/>
        </w:rPr>
        <w:t>Competition and Consumer Act 2010</w:t>
      </w:r>
      <w:r w:rsidRPr="00B9733A">
        <w:rPr>
          <w:rFonts w:asciiTheme="minorHAnsi" w:hAnsiTheme="minorHAnsi" w:cstheme="minorHAnsi"/>
        </w:rPr>
        <w:t>. To minimise the risk of delays, investors are encouraged to provide sufficient information on the likely competition effects of these transactions in any foreign investment applications.</w:t>
      </w:r>
    </w:p>
    <w:p w14:paraId="23C3C197" w14:textId="77777777" w:rsidR="006B7876" w:rsidRPr="00440FAB" w:rsidRDefault="006B7876" w:rsidP="006B7876">
      <w:pPr>
        <w:rPr>
          <w:rFonts w:asciiTheme="minorHAnsi" w:hAnsiTheme="minorHAnsi" w:cstheme="minorHAnsi"/>
        </w:rPr>
      </w:pPr>
      <w:r w:rsidRPr="00440FAB">
        <w:rPr>
          <w:rFonts w:asciiTheme="minorHAnsi" w:hAnsiTheme="minorHAnsi" w:cstheme="minorHAnsi"/>
        </w:rPr>
        <w:t xml:space="preserve">If your acquisition is not required to be notified </w:t>
      </w:r>
      <w:r>
        <w:rPr>
          <w:rFonts w:asciiTheme="minorHAnsi" w:hAnsiTheme="minorHAnsi" w:cstheme="minorHAnsi"/>
        </w:rPr>
        <w:t>to the ACCC</w:t>
      </w:r>
      <w:r w:rsidRPr="00440FAB">
        <w:rPr>
          <w:rFonts w:asciiTheme="minorHAnsi" w:hAnsiTheme="minorHAnsi" w:cstheme="minorHAnsi"/>
        </w:rPr>
        <w:t xml:space="preserve"> and has not been voluntarily notified to the ACCC, you will be required to complete the following questions in the Foreign Investment Portal:</w:t>
      </w:r>
    </w:p>
    <w:p w14:paraId="27E69380" w14:textId="77777777" w:rsidR="006B7876" w:rsidRPr="00440FAB" w:rsidRDefault="006B7876" w:rsidP="006B7876">
      <w:pPr>
        <w:pStyle w:val="Bullet"/>
        <w:rPr>
          <w:rFonts w:asciiTheme="minorHAnsi" w:hAnsiTheme="minorHAnsi" w:cstheme="minorHAnsi"/>
        </w:rPr>
      </w:pPr>
      <w:r w:rsidRPr="00440FAB">
        <w:rPr>
          <w:rFonts w:asciiTheme="minorHAnsi" w:hAnsiTheme="minorHAnsi" w:cstheme="minorHAnsi"/>
        </w:rPr>
        <w:t>Do the investors (or any related entities) compete directly or indirectly with the target or operate upstream or downstream in any of the proposed target’s supply chains?</w:t>
      </w:r>
    </w:p>
    <w:p w14:paraId="53B56094" w14:textId="21DBFB58" w:rsidR="006B7876" w:rsidRPr="00440FAB" w:rsidRDefault="006B7876" w:rsidP="006B7876">
      <w:pPr>
        <w:pStyle w:val="Bullet"/>
        <w:rPr>
          <w:rFonts w:asciiTheme="minorHAnsi" w:hAnsiTheme="minorHAnsi" w:cstheme="minorHAnsi"/>
        </w:rPr>
      </w:pPr>
      <w:r w:rsidRPr="00440FAB">
        <w:rPr>
          <w:rFonts w:asciiTheme="minorHAnsi" w:hAnsiTheme="minorHAnsi" w:cstheme="minorHAnsi"/>
        </w:rPr>
        <w:t>For each relevant product or service supplied</w:t>
      </w:r>
      <w:r w:rsidR="00140A64">
        <w:rPr>
          <w:rFonts w:asciiTheme="minorHAnsi" w:hAnsiTheme="minorHAnsi" w:cstheme="minorHAnsi"/>
        </w:rPr>
        <w:t xml:space="preserve"> or potentially supplied</w:t>
      </w:r>
      <w:r w:rsidRPr="00440FAB">
        <w:rPr>
          <w:rFonts w:asciiTheme="minorHAnsi" w:hAnsiTheme="minorHAnsi" w:cstheme="minorHAnsi"/>
        </w:rPr>
        <w:t xml:space="preserve"> by the investors</w:t>
      </w:r>
      <w:r w:rsidR="0056194C">
        <w:rPr>
          <w:rFonts w:asciiTheme="minorHAnsi" w:hAnsiTheme="minorHAnsi" w:cstheme="minorHAnsi"/>
        </w:rPr>
        <w:t>/ parties</w:t>
      </w:r>
      <w:r w:rsidRPr="00440FAB">
        <w:rPr>
          <w:rFonts w:asciiTheme="minorHAnsi" w:hAnsiTheme="minorHAnsi" w:cstheme="minorHAnsi"/>
        </w:rPr>
        <w:t xml:space="preserve"> to the acquisition:</w:t>
      </w:r>
    </w:p>
    <w:p w14:paraId="7046E7C0" w14:textId="77777777" w:rsidR="006B7876" w:rsidRPr="00440FAB" w:rsidRDefault="006B7876" w:rsidP="006B7876">
      <w:pPr>
        <w:pStyle w:val="Bullet"/>
        <w:numPr>
          <w:ilvl w:val="1"/>
          <w:numId w:val="1"/>
        </w:numPr>
        <w:rPr>
          <w:rFonts w:asciiTheme="minorHAnsi" w:hAnsiTheme="minorHAnsi" w:cstheme="minorHAnsi"/>
        </w:rPr>
      </w:pPr>
      <w:r w:rsidRPr="00440FAB">
        <w:rPr>
          <w:rFonts w:asciiTheme="minorHAnsi" w:hAnsiTheme="minorHAnsi" w:cstheme="minorHAnsi"/>
        </w:rPr>
        <w:t>Describe the product or service and the geographical areas in Australian where it is supplied; and</w:t>
      </w:r>
    </w:p>
    <w:p w14:paraId="6B35B6B8" w14:textId="1C99186E" w:rsidR="006B7876" w:rsidRPr="00440FAB" w:rsidRDefault="006B7876" w:rsidP="006B7876">
      <w:pPr>
        <w:pStyle w:val="Bullet"/>
        <w:numPr>
          <w:ilvl w:val="1"/>
          <w:numId w:val="1"/>
        </w:numPr>
        <w:rPr>
          <w:rFonts w:asciiTheme="minorHAnsi" w:hAnsiTheme="minorHAnsi" w:cstheme="minorHAnsi"/>
        </w:rPr>
      </w:pPr>
      <w:r w:rsidRPr="00440FAB">
        <w:rPr>
          <w:rFonts w:asciiTheme="minorHAnsi" w:hAnsiTheme="minorHAnsi" w:cstheme="minorHAnsi"/>
        </w:rPr>
        <w:t>Identify other key suppliers in Australia in the geographical areas identified above.</w:t>
      </w:r>
    </w:p>
    <w:p w14:paraId="06AFA85C" w14:textId="2D4A0ABE" w:rsidR="006B7876" w:rsidRPr="00440FAB" w:rsidRDefault="006B7876" w:rsidP="006B7876">
      <w:pPr>
        <w:pStyle w:val="Bullet"/>
        <w:rPr>
          <w:rFonts w:asciiTheme="minorHAnsi" w:hAnsiTheme="minorHAnsi" w:cstheme="minorHAnsi"/>
        </w:rPr>
      </w:pPr>
      <w:r w:rsidRPr="00440FAB">
        <w:rPr>
          <w:rFonts w:asciiTheme="minorHAnsi" w:hAnsiTheme="minorHAnsi" w:cstheme="minorHAnsi"/>
        </w:rPr>
        <w:t>Outline the likely effect of the proposed action</w:t>
      </w:r>
      <w:r w:rsidR="0056194C">
        <w:rPr>
          <w:rFonts w:asciiTheme="minorHAnsi" w:hAnsiTheme="minorHAnsi" w:cstheme="minorHAnsi"/>
        </w:rPr>
        <w:t>(</w:t>
      </w:r>
      <w:r w:rsidRPr="00440FAB">
        <w:rPr>
          <w:rFonts w:asciiTheme="minorHAnsi" w:hAnsiTheme="minorHAnsi" w:cstheme="minorHAnsi"/>
        </w:rPr>
        <w:t>s</w:t>
      </w:r>
      <w:r w:rsidR="0056194C">
        <w:rPr>
          <w:rFonts w:asciiTheme="minorHAnsi" w:hAnsiTheme="minorHAnsi" w:cstheme="minorHAnsi"/>
        </w:rPr>
        <w:t>)</w:t>
      </w:r>
      <w:r w:rsidRPr="00440FAB">
        <w:rPr>
          <w:rFonts w:asciiTheme="minorHAnsi" w:hAnsiTheme="minorHAnsi" w:cstheme="minorHAnsi"/>
        </w:rPr>
        <w:t xml:space="preserve"> on competition </w:t>
      </w:r>
      <w:r w:rsidR="0056194C">
        <w:rPr>
          <w:rFonts w:asciiTheme="minorHAnsi" w:hAnsiTheme="minorHAnsi" w:cstheme="minorHAnsi"/>
        </w:rPr>
        <w:t>(</w:t>
      </w:r>
      <w:r w:rsidRPr="00440FAB">
        <w:rPr>
          <w:rFonts w:asciiTheme="minorHAnsi" w:hAnsiTheme="minorHAnsi" w:cstheme="minorHAnsi"/>
        </w:rPr>
        <w:t>such as market shares</w:t>
      </w:r>
      <w:r w:rsidR="0056194C">
        <w:rPr>
          <w:rFonts w:asciiTheme="minorHAnsi" w:hAnsiTheme="minorHAnsi" w:cstheme="minorHAnsi"/>
        </w:rPr>
        <w:t>)</w:t>
      </w:r>
      <w:r w:rsidRPr="00440FAB">
        <w:rPr>
          <w:rFonts w:asciiTheme="minorHAnsi" w:hAnsiTheme="minorHAnsi" w:cstheme="minorHAnsi"/>
        </w:rPr>
        <w:t>.</w:t>
      </w:r>
    </w:p>
    <w:p w14:paraId="1BDA7A1C" w14:textId="00522B9B" w:rsidR="006B7876" w:rsidRPr="00440FAB" w:rsidRDefault="006B7876" w:rsidP="006B7876">
      <w:pPr>
        <w:pStyle w:val="Bullet"/>
        <w:rPr>
          <w:rFonts w:asciiTheme="minorHAnsi" w:hAnsiTheme="minorHAnsi" w:cstheme="minorHAnsi"/>
        </w:rPr>
      </w:pPr>
      <w:r w:rsidRPr="00440FAB">
        <w:rPr>
          <w:rFonts w:asciiTheme="minorHAnsi" w:hAnsiTheme="minorHAnsi" w:cstheme="minorHAnsi"/>
        </w:rPr>
        <w:t xml:space="preserve">For each party (acquirer and target) to the acquisition (including any connected entities carrying on business in Australia), provide the total Australian revenue for the </w:t>
      </w:r>
      <w:r w:rsidR="0056194C">
        <w:rPr>
          <w:rFonts w:asciiTheme="minorHAnsi" w:hAnsiTheme="minorHAnsi" w:cstheme="minorHAnsi"/>
        </w:rPr>
        <w:t>most recent</w:t>
      </w:r>
      <w:r w:rsidRPr="00440FAB">
        <w:rPr>
          <w:rFonts w:asciiTheme="minorHAnsi" w:hAnsiTheme="minorHAnsi" w:cstheme="minorHAnsi"/>
        </w:rPr>
        <w:t xml:space="preserve"> 12-month financial reporting periods (in AUD</w:t>
      </w:r>
      <w:r w:rsidR="0056194C">
        <w:rPr>
          <w:rFonts w:asciiTheme="minorHAnsi" w:hAnsiTheme="minorHAnsi" w:cstheme="minorHAnsi"/>
        </w:rPr>
        <w:t xml:space="preserve"> $)</w:t>
      </w:r>
      <w:r w:rsidR="005B4BB2">
        <w:rPr>
          <w:rFonts w:asciiTheme="minorHAnsi" w:hAnsiTheme="minorHAnsi" w:cstheme="minorHAnsi"/>
        </w:rPr>
        <w:t>.</w:t>
      </w:r>
    </w:p>
    <w:p w14:paraId="278B4FDA" w14:textId="77777777" w:rsidR="006B7876" w:rsidRPr="00440FAB" w:rsidRDefault="006B7876" w:rsidP="006B7876">
      <w:pPr>
        <w:pStyle w:val="Bullet"/>
        <w:numPr>
          <w:ilvl w:val="1"/>
          <w:numId w:val="1"/>
        </w:numPr>
        <w:rPr>
          <w:rFonts w:asciiTheme="minorHAnsi" w:hAnsiTheme="minorHAnsi" w:cstheme="minorHAnsi"/>
        </w:rPr>
      </w:pPr>
      <w:r w:rsidRPr="00440FAB">
        <w:rPr>
          <w:rFonts w:asciiTheme="minorHAnsi" w:hAnsiTheme="minorHAnsi" w:cstheme="minorHAnsi"/>
        </w:rPr>
        <w:t>This should include the following details (</w:t>
      </w:r>
      <w:hyperlink r:id="rId7" w:history="1">
        <w:r w:rsidRPr="000B11DA">
          <w:rPr>
            <w:rStyle w:val="Hyperlink"/>
            <w:rFonts w:asciiTheme="minorHAnsi" w:hAnsiTheme="minorHAnsi" w:cstheme="minorHAnsi"/>
          </w:rPr>
          <w:t>spreadsheet for completion</w:t>
        </w:r>
      </w:hyperlink>
      <w:r w:rsidRPr="00440FAB">
        <w:rPr>
          <w:rFonts w:asciiTheme="minorHAnsi" w:hAnsiTheme="minorHAnsi" w:cstheme="minorHAnsi"/>
        </w:rPr>
        <w:t xml:space="preserve"> </w:t>
      </w:r>
      <w:r>
        <w:rPr>
          <w:rFonts w:asciiTheme="minorHAnsi" w:hAnsiTheme="minorHAnsi" w:cstheme="minorHAnsi"/>
        </w:rPr>
        <w:t>can be found on the website</w:t>
      </w:r>
      <w:r w:rsidRPr="00440FAB">
        <w:rPr>
          <w:rFonts w:asciiTheme="minorHAnsi" w:hAnsiTheme="minorHAnsi" w:cstheme="minorHAnsi"/>
        </w:rPr>
        <w:t>):</w:t>
      </w:r>
    </w:p>
    <w:p w14:paraId="26832335" w14:textId="77777777" w:rsidR="006B7876" w:rsidRPr="00440FAB" w:rsidRDefault="006B7876" w:rsidP="006B7876">
      <w:pPr>
        <w:pStyle w:val="Bullet"/>
        <w:numPr>
          <w:ilvl w:val="2"/>
          <w:numId w:val="1"/>
        </w:numPr>
        <w:rPr>
          <w:rFonts w:asciiTheme="minorHAnsi" w:hAnsiTheme="minorHAnsi" w:cstheme="minorHAnsi"/>
        </w:rPr>
      </w:pPr>
      <w:r w:rsidRPr="00440FAB">
        <w:rPr>
          <w:rFonts w:asciiTheme="minorHAnsi" w:hAnsiTheme="minorHAnsi" w:cstheme="minorHAnsi"/>
        </w:rPr>
        <w:t>Entity name (including relationship to a party)</w:t>
      </w:r>
    </w:p>
    <w:p w14:paraId="0FEA66E6" w14:textId="77777777" w:rsidR="006B7876" w:rsidRPr="00440FAB" w:rsidRDefault="006B7876" w:rsidP="006B7876">
      <w:pPr>
        <w:pStyle w:val="Bullet"/>
        <w:numPr>
          <w:ilvl w:val="2"/>
          <w:numId w:val="1"/>
        </w:numPr>
        <w:rPr>
          <w:rFonts w:asciiTheme="minorHAnsi" w:hAnsiTheme="minorHAnsi" w:cstheme="minorHAnsi"/>
        </w:rPr>
      </w:pPr>
      <w:r w:rsidRPr="00440FAB">
        <w:rPr>
          <w:rFonts w:asciiTheme="minorHAnsi" w:hAnsiTheme="minorHAnsi" w:cstheme="minorHAnsi"/>
        </w:rPr>
        <w:t>12-month period (including months and years covered)</w:t>
      </w:r>
    </w:p>
    <w:p w14:paraId="2E7A3356" w14:textId="6A22B4D8" w:rsidR="006B7876" w:rsidRPr="00440FAB" w:rsidRDefault="006B7876" w:rsidP="006B7876">
      <w:pPr>
        <w:pStyle w:val="Bullet"/>
        <w:numPr>
          <w:ilvl w:val="2"/>
          <w:numId w:val="1"/>
        </w:numPr>
        <w:rPr>
          <w:rFonts w:asciiTheme="minorHAnsi" w:hAnsiTheme="minorHAnsi" w:cstheme="minorHAnsi"/>
        </w:rPr>
      </w:pPr>
      <w:r w:rsidRPr="00440FAB">
        <w:rPr>
          <w:rFonts w:asciiTheme="minorHAnsi" w:hAnsiTheme="minorHAnsi" w:cstheme="minorHAnsi"/>
        </w:rPr>
        <w:t>Australian revenue</w:t>
      </w:r>
      <w:r w:rsidR="00E97CC2">
        <w:rPr>
          <w:rFonts w:asciiTheme="minorHAnsi" w:hAnsiTheme="minorHAnsi" w:cstheme="minorHAnsi"/>
        </w:rPr>
        <w:t>.</w:t>
      </w:r>
    </w:p>
    <w:p w14:paraId="42D1F72C" w14:textId="687A17F5" w:rsidR="00DF2022" w:rsidRDefault="00DF2022" w:rsidP="00DF2022">
      <w:pPr>
        <w:pStyle w:val="Heading3"/>
        <w:rPr>
          <w:rFonts w:asciiTheme="minorHAnsi" w:hAnsiTheme="minorHAnsi" w:cstheme="minorHAnsi"/>
        </w:rPr>
      </w:pPr>
      <w:r w:rsidRPr="00440FAB">
        <w:rPr>
          <w:rFonts w:asciiTheme="minorHAnsi" w:hAnsiTheme="minorHAnsi" w:cstheme="minorHAnsi"/>
        </w:rPr>
        <w:t xml:space="preserve">What will </w:t>
      </w:r>
      <w:r>
        <w:rPr>
          <w:rFonts w:asciiTheme="minorHAnsi" w:hAnsiTheme="minorHAnsi" w:cstheme="minorHAnsi"/>
        </w:rPr>
        <w:t xml:space="preserve">happen to foreign investment submissions lodged prior to </w:t>
      </w:r>
      <w:r w:rsidR="00684D04">
        <w:rPr>
          <w:rFonts w:asciiTheme="minorHAnsi" w:hAnsiTheme="minorHAnsi" w:cstheme="minorHAnsi"/>
        </w:rPr>
        <w:t xml:space="preserve">the implementation of </w:t>
      </w:r>
      <w:r w:rsidR="00AC635D">
        <w:rPr>
          <w:rFonts w:asciiTheme="minorHAnsi" w:hAnsiTheme="minorHAnsi" w:cstheme="minorHAnsi"/>
        </w:rPr>
        <w:t>the ACCC’s merger control regime</w:t>
      </w:r>
      <w:r w:rsidRPr="00440FAB">
        <w:rPr>
          <w:rFonts w:asciiTheme="minorHAnsi" w:hAnsiTheme="minorHAnsi" w:cstheme="minorHAnsi"/>
        </w:rPr>
        <w:t>?</w:t>
      </w:r>
    </w:p>
    <w:p w14:paraId="7EC14129" w14:textId="78E381B1" w:rsidR="00D51D55" w:rsidRDefault="00B12DA9" w:rsidP="00D80EDA">
      <w:pPr>
        <w:pStyle w:val="Bullet"/>
        <w:rPr>
          <w:rFonts w:asciiTheme="minorHAnsi" w:hAnsiTheme="minorHAnsi" w:cstheme="minorHAnsi"/>
        </w:rPr>
      </w:pPr>
      <w:r>
        <w:rPr>
          <w:rFonts w:asciiTheme="minorHAnsi" w:hAnsiTheme="minorHAnsi" w:cstheme="minorHAnsi"/>
        </w:rPr>
        <w:t xml:space="preserve">If </w:t>
      </w:r>
      <w:r w:rsidR="00D12C54">
        <w:rPr>
          <w:rFonts w:asciiTheme="minorHAnsi" w:hAnsiTheme="minorHAnsi" w:cstheme="minorHAnsi"/>
        </w:rPr>
        <w:t xml:space="preserve">a </w:t>
      </w:r>
      <w:r w:rsidR="003D5067">
        <w:rPr>
          <w:rFonts w:asciiTheme="minorHAnsi" w:hAnsiTheme="minorHAnsi" w:cstheme="minorHAnsi"/>
        </w:rPr>
        <w:t xml:space="preserve">foreign investment submission was </w:t>
      </w:r>
      <w:r w:rsidR="00964926">
        <w:rPr>
          <w:rFonts w:asciiTheme="minorHAnsi" w:hAnsiTheme="minorHAnsi" w:cstheme="minorHAnsi"/>
        </w:rPr>
        <w:t xml:space="preserve">made </w:t>
      </w:r>
      <w:r w:rsidR="003D5067">
        <w:rPr>
          <w:rFonts w:asciiTheme="minorHAnsi" w:hAnsiTheme="minorHAnsi" w:cstheme="minorHAnsi"/>
        </w:rPr>
        <w:t xml:space="preserve">prior </w:t>
      </w:r>
      <w:r w:rsidR="001B7752">
        <w:rPr>
          <w:rFonts w:asciiTheme="minorHAnsi" w:hAnsiTheme="minorHAnsi" w:cstheme="minorHAnsi"/>
        </w:rPr>
        <w:t xml:space="preserve">to </w:t>
      </w:r>
      <w:r w:rsidR="00761B59">
        <w:rPr>
          <w:rFonts w:asciiTheme="minorHAnsi" w:hAnsiTheme="minorHAnsi" w:cstheme="minorHAnsi"/>
        </w:rPr>
        <w:t>1</w:t>
      </w:r>
      <w:r w:rsidR="001B7752">
        <w:rPr>
          <w:rFonts w:asciiTheme="minorHAnsi" w:hAnsiTheme="minorHAnsi" w:cstheme="minorHAnsi"/>
        </w:rPr>
        <w:t xml:space="preserve"> January 2026</w:t>
      </w:r>
      <w:r w:rsidR="005667A0">
        <w:rPr>
          <w:rFonts w:asciiTheme="minorHAnsi" w:hAnsiTheme="minorHAnsi" w:cstheme="minorHAnsi"/>
        </w:rPr>
        <w:t xml:space="preserve"> </w:t>
      </w:r>
      <w:r w:rsidR="00DD2897">
        <w:rPr>
          <w:rFonts w:asciiTheme="minorHAnsi" w:hAnsiTheme="minorHAnsi" w:cstheme="minorHAnsi"/>
        </w:rPr>
        <w:t xml:space="preserve">and </w:t>
      </w:r>
      <w:r w:rsidR="00D12C54">
        <w:rPr>
          <w:rFonts w:asciiTheme="minorHAnsi" w:hAnsiTheme="minorHAnsi" w:cstheme="minorHAnsi"/>
        </w:rPr>
        <w:t>the I</w:t>
      </w:r>
      <w:r w:rsidR="00C14DF3">
        <w:rPr>
          <w:rFonts w:asciiTheme="minorHAnsi" w:hAnsiTheme="minorHAnsi" w:cstheme="minorHAnsi"/>
        </w:rPr>
        <w:t xml:space="preserve">nvestor has </w:t>
      </w:r>
      <w:r w:rsidR="00F04F47">
        <w:rPr>
          <w:rFonts w:asciiTheme="minorHAnsi" w:hAnsiTheme="minorHAnsi" w:cstheme="minorHAnsi"/>
        </w:rPr>
        <w:t xml:space="preserve">subsequently </w:t>
      </w:r>
      <w:r w:rsidR="00DD2897">
        <w:rPr>
          <w:rFonts w:asciiTheme="minorHAnsi" w:hAnsiTheme="minorHAnsi" w:cstheme="minorHAnsi"/>
        </w:rPr>
        <w:t>notifie</w:t>
      </w:r>
      <w:r w:rsidR="00BD1ACC">
        <w:rPr>
          <w:rFonts w:asciiTheme="minorHAnsi" w:hAnsiTheme="minorHAnsi" w:cstheme="minorHAnsi"/>
        </w:rPr>
        <w:t>d</w:t>
      </w:r>
      <w:r w:rsidR="00DD2897">
        <w:rPr>
          <w:rFonts w:asciiTheme="minorHAnsi" w:hAnsiTheme="minorHAnsi" w:cstheme="minorHAnsi"/>
        </w:rPr>
        <w:t xml:space="preserve"> the ACCC</w:t>
      </w:r>
      <w:r w:rsidR="00336A1B">
        <w:rPr>
          <w:rFonts w:asciiTheme="minorHAnsi" w:hAnsiTheme="minorHAnsi" w:cstheme="minorHAnsi"/>
        </w:rPr>
        <w:t xml:space="preserve"> under the merger control re</w:t>
      </w:r>
      <w:r w:rsidR="001F07AF">
        <w:rPr>
          <w:rFonts w:asciiTheme="minorHAnsi" w:hAnsiTheme="minorHAnsi" w:cstheme="minorHAnsi"/>
        </w:rPr>
        <w:t>gime</w:t>
      </w:r>
      <w:r w:rsidR="00F04F47">
        <w:rPr>
          <w:rFonts w:asciiTheme="minorHAnsi" w:hAnsiTheme="minorHAnsi" w:cstheme="minorHAnsi"/>
        </w:rPr>
        <w:t xml:space="preserve">, the Investor should use the communications function available in the Foreign Investment Portal </w:t>
      </w:r>
      <w:r w:rsidR="00C961C4">
        <w:rPr>
          <w:rFonts w:asciiTheme="minorHAnsi" w:hAnsiTheme="minorHAnsi" w:cstheme="minorHAnsi"/>
        </w:rPr>
        <w:t xml:space="preserve">to advise Treasury that the </w:t>
      </w:r>
      <w:r w:rsidR="007B4C7E">
        <w:rPr>
          <w:rFonts w:asciiTheme="minorHAnsi" w:hAnsiTheme="minorHAnsi" w:cstheme="minorHAnsi"/>
        </w:rPr>
        <w:t xml:space="preserve">proposed </w:t>
      </w:r>
      <w:r w:rsidR="00C961C4">
        <w:rPr>
          <w:rFonts w:asciiTheme="minorHAnsi" w:hAnsiTheme="minorHAnsi" w:cstheme="minorHAnsi"/>
        </w:rPr>
        <w:t xml:space="preserve">transaction has been notified to the ACCC. </w:t>
      </w:r>
    </w:p>
    <w:p w14:paraId="5210681B" w14:textId="2EBC34B8" w:rsidR="00D80EDA" w:rsidRPr="00C961C4" w:rsidRDefault="00C961C4" w:rsidP="00616015">
      <w:pPr>
        <w:pStyle w:val="Bullet"/>
        <w:rPr>
          <w:rFonts w:asciiTheme="minorHAnsi" w:hAnsiTheme="minorHAnsi" w:cstheme="minorHAnsi"/>
        </w:rPr>
      </w:pPr>
      <w:r>
        <w:rPr>
          <w:rFonts w:asciiTheme="minorHAnsi" w:hAnsiTheme="minorHAnsi" w:cstheme="minorHAnsi"/>
        </w:rPr>
        <w:t>Parties should</w:t>
      </w:r>
      <w:r w:rsidR="00284698">
        <w:rPr>
          <w:rFonts w:asciiTheme="minorHAnsi" w:hAnsiTheme="minorHAnsi" w:cstheme="minorHAnsi"/>
        </w:rPr>
        <w:t xml:space="preserve"> also</w:t>
      </w:r>
      <w:r>
        <w:rPr>
          <w:rFonts w:asciiTheme="minorHAnsi" w:hAnsiTheme="minorHAnsi" w:cstheme="minorHAnsi"/>
        </w:rPr>
        <w:t xml:space="preserve"> </w:t>
      </w:r>
      <w:r w:rsidR="00DD2897" w:rsidRPr="00C961C4">
        <w:rPr>
          <w:rFonts w:asciiTheme="minorHAnsi" w:hAnsiTheme="minorHAnsi" w:cstheme="minorHAnsi"/>
        </w:rPr>
        <w:t>provide</w:t>
      </w:r>
      <w:r w:rsidR="008E2E86">
        <w:rPr>
          <w:rFonts w:asciiTheme="minorHAnsi" w:hAnsiTheme="minorHAnsi" w:cstheme="minorHAnsi"/>
        </w:rPr>
        <w:t xml:space="preserve"> Treasury with</w:t>
      </w:r>
      <w:r w:rsidR="00DD2897" w:rsidRPr="00C961C4">
        <w:rPr>
          <w:rFonts w:asciiTheme="minorHAnsi" w:hAnsiTheme="minorHAnsi" w:cstheme="minorHAnsi"/>
        </w:rPr>
        <w:t xml:space="preserve"> their </w:t>
      </w:r>
      <w:r w:rsidR="008E2E86">
        <w:rPr>
          <w:rFonts w:asciiTheme="minorHAnsi" w:hAnsiTheme="minorHAnsi" w:cstheme="minorHAnsi"/>
        </w:rPr>
        <w:t xml:space="preserve">ACCC </w:t>
      </w:r>
      <w:r w:rsidR="00DD2897" w:rsidRPr="00C961C4">
        <w:rPr>
          <w:rFonts w:asciiTheme="minorHAnsi" w:hAnsiTheme="minorHAnsi" w:cstheme="minorHAnsi"/>
        </w:rPr>
        <w:t>reference number for their notification or waiver application and the outcome</w:t>
      </w:r>
      <w:r>
        <w:rPr>
          <w:rFonts w:asciiTheme="minorHAnsi" w:hAnsiTheme="minorHAnsi" w:cstheme="minorHAnsi"/>
        </w:rPr>
        <w:t>.</w:t>
      </w:r>
    </w:p>
    <w:p w14:paraId="65F6CA14" w14:textId="77777777" w:rsidR="00DF2022" w:rsidRDefault="00DF2022" w:rsidP="006B7876">
      <w:pPr>
        <w:pStyle w:val="Heading2"/>
        <w:rPr>
          <w:rFonts w:asciiTheme="minorHAnsi" w:hAnsiTheme="minorHAnsi" w:cstheme="minorHAnsi"/>
        </w:rPr>
      </w:pPr>
    </w:p>
    <w:p w14:paraId="21104369" w14:textId="77777777" w:rsidR="006B7876" w:rsidRPr="00440FAB" w:rsidRDefault="006B7876" w:rsidP="006B7876">
      <w:pPr>
        <w:pStyle w:val="Heading2"/>
        <w:rPr>
          <w:rFonts w:asciiTheme="minorHAnsi" w:hAnsiTheme="minorHAnsi" w:cstheme="minorHAnsi"/>
        </w:rPr>
      </w:pPr>
      <w:r w:rsidRPr="00440FAB">
        <w:rPr>
          <w:rFonts w:asciiTheme="minorHAnsi" w:hAnsiTheme="minorHAnsi" w:cstheme="minorHAnsi"/>
        </w:rPr>
        <w:t xml:space="preserve">Enquiries </w:t>
      </w:r>
    </w:p>
    <w:p w14:paraId="07F6CC78" w14:textId="67B27BDA" w:rsidR="006B7876" w:rsidRPr="00440FAB" w:rsidRDefault="006B7876" w:rsidP="006B7876">
      <w:pPr>
        <w:pStyle w:val="NoSpacing"/>
        <w:rPr>
          <w:rFonts w:cstheme="minorHAnsi"/>
        </w:rPr>
      </w:pPr>
      <w:r w:rsidRPr="00440FAB">
        <w:rPr>
          <w:rFonts w:cstheme="minorHAnsi"/>
        </w:rPr>
        <w:t xml:space="preserve">Further information is available on the </w:t>
      </w:r>
      <w:r>
        <w:rPr>
          <w:rFonts w:cstheme="minorHAnsi"/>
        </w:rPr>
        <w:t xml:space="preserve">Australian Competition &amp; Consumer Commission website – </w:t>
      </w:r>
      <w:hyperlink r:id="rId8" w:history="1">
        <w:r w:rsidRPr="00FD65BA">
          <w:rPr>
            <w:rStyle w:val="Hyperlink"/>
            <w:rFonts w:cstheme="minorHAnsi"/>
          </w:rPr>
          <w:t>Merger reform | ACCC</w:t>
        </w:r>
      </w:hyperlink>
      <w:r>
        <w:rPr>
          <w:rFonts w:cstheme="minorHAnsi"/>
        </w:rPr>
        <w:t>.</w:t>
      </w:r>
    </w:p>
    <w:p w14:paraId="7AA6D198" w14:textId="77777777" w:rsidR="00902367" w:rsidRDefault="00902367"/>
    <w:sectPr w:rsidR="00902367" w:rsidSect="006B7876">
      <w:headerReference w:type="default" r:id="rId9"/>
      <w:footerReference w:type="default" r:id="rId10"/>
      <w:headerReference w:type="first" r:id="rId11"/>
      <w:footerReference w:type="first" r:id="rId12"/>
      <w:pgSz w:w="11906" w:h="16838" w:code="9"/>
      <w:pgMar w:top="1843" w:right="1701" w:bottom="1021" w:left="1701" w:header="567" w:footer="24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6D6C" w14:textId="77777777" w:rsidR="0062624E" w:rsidRDefault="0062624E" w:rsidP="006B7876">
      <w:pPr>
        <w:spacing w:before="0" w:after="0"/>
      </w:pPr>
      <w:r>
        <w:separator/>
      </w:r>
    </w:p>
  </w:endnote>
  <w:endnote w:type="continuationSeparator" w:id="0">
    <w:p w14:paraId="377CFFCE" w14:textId="77777777" w:rsidR="0062624E" w:rsidRDefault="0062624E" w:rsidP="006B7876">
      <w:pPr>
        <w:spacing w:before="0" w:after="0"/>
      </w:pPr>
      <w:r>
        <w:continuationSeparator/>
      </w:r>
    </w:p>
  </w:endnote>
  <w:endnote w:type="continuationNotice" w:id="1">
    <w:p w14:paraId="12D3C11B" w14:textId="77777777" w:rsidR="0062624E" w:rsidRDefault="006262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0E49" w14:textId="7924FAE6" w:rsidR="005B4BB2" w:rsidRDefault="005B4BB2" w:rsidP="001F6141">
    <w:pPr>
      <w:pStyle w:val="Footer"/>
      <w:tabs>
        <w:tab w:val="clear" w:pos="4320"/>
      </w:tabs>
      <w:jc w:val="right"/>
    </w:pPr>
    <w:r w:rsidRPr="00AC3B66">
      <w:rPr>
        <w:noProof/>
        <w:position w:val="-10"/>
      </w:rPr>
      <w:drawing>
        <wp:inline distT="0" distB="0" distL="0" distR="0" wp14:anchorId="64C2A19A" wp14:editId="19BE7BDF">
          <wp:extent cx="2178000" cy="201600"/>
          <wp:effectExtent l="0" t="0" r="0" b="8255"/>
          <wp:docPr id="323" name="Picture 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tab/>
    </w:r>
    <w:r w:rsidR="003205E7">
      <w:t>14</w:t>
    </w:r>
    <w:r>
      <w:t xml:space="preserve"> </w:t>
    </w:r>
    <w:r w:rsidR="003205E7">
      <w:t>January 2026</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4BE" w14:textId="3CD0FD7F" w:rsidR="005B4BB2" w:rsidRDefault="005B4BB2" w:rsidP="001F6141">
    <w:pPr>
      <w:pStyle w:val="Footer"/>
      <w:tabs>
        <w:tab w:val="clear" w:pos="4320"/>
        <w:tab w:val="clear" w:pos="8640"/>
        <w:tab w:val="center" w:pos="7938"/>
      </w:tabs>
      <w:jc w:val="right"/>
    </w:pPr>
    <w:r w:rsidRPr="00AC3B66">
      <w:rPr>
        <w:noProof/>
        <w:position w:val="-10"/>
      </w:rPr>
      <w:drawing>
        <wp:inline distT="0" distB="0" distL="0" distR="0" wp14:anchorId="79F4C7C1" wp14:editId="3EA02BED">
          <wp:extent cx="2178000" cy="201600"/>
          <wp:effectExtent l="0" t="0" r="0" b="8255"/>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tab/>
    </w:r>
    <w:r w:rsidR="003205E7">
      <w:t>14 January 2026</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5170" w14:textId="77777777" w:rsidR="0062624E" w:rsidRDefault="0062624E" w:rsidP="006B7876">
      <w:pPr>
        <w:spacing w:before="0" w:after="0"/>
      </w:pPr>
      <w:r>
        <w:separator/>
      </w:r>
    </w:p>
  </w:footnote>
  <w:footnote w:type="continuationSeparator" w:id="0">
    <w:p w14:paraId="49D4259E" w14:textId="77777777" w:rsidR="0062624E" w:rsidRDefault="0062624E" w:rsidP="006B7876">
      <w:pPr>
        <w:spacing w:before="0" w:after="0"/>
      </w:pPr>
      <w:r>
        <w:continuationSeparator/>
      </w:r>
    </w:p>
  </w:footnote>
  <w:footnote w:type="continuationNotice" w:id="1">
    <w:p w14:paraId="1632C33B" w14:textId="77777777" w:rsidR="0062624E" w:rsidRDefault="0062624E">
      <w:pPr>
        <w:spacing w:before="0" w:after="0"/>
      </w:pPr>
    </w:p>
  </w:footnote>
  <w:footnote w:id="2">
    <w:p w14:paraId="220EC959" w14:textId="77777777" w:rsidR="006B7876" w:rsidRDefault="006B7876" w:rsidP="006B7876">
      <w:pPr>
        <w:pStyle w:val="FootnoteText"/>
      </w:pPr>
      <w:r>
        <w:rPr>
          <w:rStyle w:val="FootnoteReference"/>
        </w:rPr>
        <w:footnoteRef/>
      </w:r>
      <w:r>
        <w:t xml:space="preserve"> </w:t>
      </w:r>
      <w:hyperlink r:id="rId1" w:history="1">
        <w:r w:rsidRPr="00CE53E2">
          <w:rPr>
            <w:rStyle w:val="Hyperlink"/>
          </w:rPr>
          <w:t>https://ministers.treasury.gov.au/ministers/jim-chalmers-2022/media-releases/reforms-strengthen-australias-foreign-investment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2630" w14:textId="481FA35F" w:rsidR="005B4BB2" w:rsidRPr="005A7DC5" w:rsidRDefault="00F97AA7" w:rsidP="001F6141">
    <w:pPr>
      <w:pStyle w:val="SecurityClassificationHeader"/>
      <w:spacing w:before="0" w:after="0"/>
      <w:jc w:val="left"/>
      <w:rPr>
        <w:color w:val="auto"/>
      </w:rPr>
    </w:pPr>
    <w:r w:rsidRPr="00105478">
      <w:rPr>
        <w:noProof/>
        <w:color w:val="auto"/>
      </w:rPr>
      <w:drawing>
        <wp:anchor distT="0" distB="0" distL="114300" distR="114300" simplePos="0" relativeHeight="251660295" behindDoc="1" locked="0" layoutInCell="1" allowOverlap="1" wp14:anchorId="3777E7CF" wp14:editId="0E04AF38">
          <wp:simplePos x="0" y="0"/>
          <wp:positionH relativeFrom="margin">
            <wp:align>center</wp:align>
          </wp:positionH>
          <wp:positionV relativeFrom="page">
            <wp:align>top</wp:align>
          </wp:positionV>
          <wp:extent cx="7599045" cy="1047115"/>
          <wp:effectExtent l="0" t="0" r="1905" b="635"/>
          <wp:wrapNone/>
          <wp:docPr id="322" name="Picture 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47115"/>
                  </a:xfrm>
                  <a:prstGeom prst="rect">
                    <a:avLst/>
                  </a:prstGeom>
                  <a:extLst>
                    <a:ext uri="{FAA26D3D-D897-4be2-8F04-BA451C77F1D7}">
                      <ma14:placeholderFlag xmlns:aclsh="http://schemas.microsoft.com/office/drawing/2020/classificationShape"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09C4" w14:textId="11B170B1" w:rsidR="005B4BB2" w:rsidRPr="00105478" w:rsidRDefault="005B4BB2" w:rsidP="001F6141">
    <w:pPr>
      <w:pStyle w:val="SecurityClassificationHeader"/>
      <w:spacing w:before="0" w:after="0"/>
      <w:rPr>
        <w:color w:val="auto"/>
      </w:rPr>
    </w:pPr>
    <w:r w:rsidRPr="00105478">
      <w:rPr>
        <w:noProof/>
        <w:color w:val="auto"/>
      </w:rPr>
      <w:drawing>
        <wp:anchor distT="0" distB="0" distL="114300" distR="114300" simplePos="0" relativeHeight="251658240" behindDoc="1" locked="0" layoutInCell="1" allowOverlap="0" wp14:anchorId="3BA2D535" wp14:editId="70DA18C2">
          <wp:simplePos x="0" y="0"/>
          <wp:positionH relativeFrom="page">
            <wp:posOffset>-9525</wp:posOffset>
          </wp:positionH>
          <wp:positionV relativeFrom="paragraph">
            <wp:posOffset>-369570</wp:posOffset>
          </wp:positionV>
          <wp:extent cx="7559040" cy="1511808"/>
          <wp:effectExtent l="0" t="0" r="3810" b="0"/>
          <wp:wrapSquare wrapText="bothSides"/>
          <wp:docPr id="324" name="Picture 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040" cy="15118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7345B"/>
    <w:multiLevelType w:val="hybridMultilevel"/>
    <w:tmpl w:val="887A1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777375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77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76"/>
    <w:rsid w:val="0000270F"/>
    <w:rsid w:val="000100B7"/>
    <w:rsid w:val="00010CA5"/>
    <w:rsid w:val="00022180"/>
    <w:rsid w:val="000268ED"/>
    <w:rsid w:val="000268FE"/>
    <w:rsid w:val="00030417"/>
    <w:rsid w:val="00031403"/>
    <w:rsid w:val="0003186A"/>
    <w:rsid w:val="00032E46"/>
    <w:rsid w:val="00035DBD"/>
    <w:rsid w:val="00043FE6"/>
    <w:rsid w:val="00052D58"/>
    <w:rsid w:val="000533BD"/>
    <w:rsid w:val="00055A49"/>
    <w:rsid w:val="00061A12"/>
    <w:rsid w:val="00065936"/>
    <w:rsid w:val="00077529"/>
    <w:rsid w:val="00092598"/>
    <w:rsid w:val="000A755A"/>
    <w:rsid w:val="000C5258"/>
    <w:rsid w:val="000C7C15"/>
    <w:rsid w:val="000D1B6A"/>
    <w:rsid w:val="000E7F8D"/>
    <w:rsid w:val="00102072"/>
    <w:rsid w:val="001034F8"/>
    <w:rsid w:val="001079EF"/>
    <w:rsid w:val="00113965"/>
    <w:rsid w:val="001207B1"/>
    <w:rsid w:val="00124FBC"/>
    <w:rsid w:val="00131D68"/>
    <w:rsid w:val="00131FFB"/>
    <w:rsid w:val="00140A64"/>
    <w:rsid w:val="00145DA2"/>
    <w:rsid w:val="00177EB9"/>
    <w:rsid w:val="00183F34"/>
    <w:rsid w:val="00185876"/>
    <w:rsid w:val="00185FEF"/>
    <w:rsid w:val="00193976"/>
    <w:rsid w:val="0019482C"/>
    <w:rsid w:val="001966B1"/>
    <w:rsid w:val="001A5D7B"/>
    <w:rsid w:val="001B429C"/>
    <w:rsid w:val="001B7752"/>
    <w:rsid w:val="001C0CF9"/>
    <w:rsid w:val="001C3590"/>
    <w:rsid w:val="001D25C2"/>
    <w:rsid w:val="001E4651"/>
    <w:rsid w:val="001F0294"/>
    <w:rsid w:val="001F07AF"/>
    <w:rsid w:val="001F6141"/>
    <w:rsid w:val="00200685"/>
    <w:rsid w:val="00201DB0"/>
    <w:rsid w:val="002140F9"/>
    <w:rsid w:val="00217B94"/>
    <w:rsid w:val="00220E63"/>
    <w:rsid w:val="002210A6"/>
    <w:rsid w:val="0023369F"/>
    <w:rsid w:val="0023662C"/>
    <w:rsid w:val="00242047"/>
    <w:rsid w:val="00245826"/>
    <w:rsid w:val="00251B21"/>
    <w:rsid w:val="002531D7"/>
    <w:rsid w:val="00254664"/>
    <w:rsid w:val="00260DFB"/>
    <w:rsid w:val="00266439"/>
    <w:rsid w:val="00275558"/>
    <w:rsid w:val="00275E49"/>
    <w:rsid w:val="002766F8"/>
    <w:rsid w:val="00282DA1"/>
    <w:rsid w:val="00284698"/>
    <w:rsid w:val="002851F8"/>
    <w:rsid w:val="00286F33"/>
    <w:rsid w:val="00294D4A"/>
    <w:rsid w:val="002A42FA"/>
    <w:rsid w:val="002B5571"/>
    <w:rsid w:val="002C027E"/>
    <w:rsid w:val="002C4EB2"/>
    <w:rsid w:val="002C61AA"/>
    <w:rsid w:val="002F61F5"/>
    <w:rsid w:val="003075B7"/>
    <w:rsid w:val="00307E05"/>
    <w:rsid w:val="0031345C"/>
    <w:rsid w:val="00313539"/>
    <w:rsid w:val="003205E7"/>
    <w:rsid w:val="003257F2"/>
    <w:rsid w:val="003327D1"/>
    <w:rsid w:val="0033610B"/>
    <w:rsid w:val="00336A1B"/>
    <w:rsid w:val="00347CF2"/>
    <w:rsid w:val="003563FC"/>
    <w:rsid w:val="0035668F"/>
    <w:rsid w:val="00367803"/>
    <w:rsid w:val="00377BEB"/>
    <w:rsid w:val="0038167D"/>
    <w:rsid w:val="00396B92"/>
    <w:rsid w:val="003A0BEC"/>
    <w:rsid w:val="003B148B"/>
    <w:rsid w:val="003C279C"/>
    <w:rsid w:val="003C3A2B"/>
    <w:rsid w:val="003D5067"/>
    <w:rsid w:val="003E42A6"/>
    <w:rsid w:val="003E699B"/>
    <w:rsid w:val="003E7FE1"/>
    <w:rsid w:val="003F4196"/>
    <w:rsid w:val="0041566E"/>
    <w:rsid w:val="00417365"/>
    <w:rsid w:val="00430139"/>
    <w:rsid w:val="004319F6"/>
    <w:rsid w:val="00446091"/>
    <w:rsid w:val="00446853"/>
    <w:rsid w:val="00457093"/>
    <w:rsid w:val="0045742F"/>
    <w:rsid w:val="004643C0"/>
    <w:rsid w:val="00483752"/>
    <w:rsid w:val="00490219"/>
    <w:rsid w:val="004A4A89"/>
    <w:rsid w:val="004C656E"/>
    <w:rsid w:val="004E262E"/>
    <w:rsid w:val="004F13CD"/>
    <w:rsid w:val="00504305"/>
    <w:rsid w:val="00523AFA"/>
    <w:rsid w:val="00527B96"/>
    <w:rsid w:val="005311D9"/>
    <w:rsid w:val="00545205"/>
    <w:rsid w:val="0056194C"/>
    <w:rsid w:val="005663CE"/>
    <w:rsid w:val="005667A0"/>
    <w:rsid w:val="0057060A"/>
    <w:rsid w:val="00582FE0"/>
    <w:rsid w:val="005877C8"/>
    <w:rsid w:val="00597C9B"/>
    <w:rsid w:val="005B4BB2"/>
    <w:rsid w:val="005C3185"/>
    <w:rsid w:val="005D10C3"/>
    <w:rsid w:val="005D3CDF"/>
    <w:rsid w:val="005D6359"/>
    <w:rsid w:val="005F354A"/>
    <w:rsid w:val="006105BB"/>
    <w:rsid w:val="00610892"/>
    <w:rsid w:val="006154CB"/>
    <w:rsid w:val="00616015"/>
    <w:rsid w:val="0062624E"/>
    <w:rsid w:val="006328CC"/>
    <w:rsid w:val="00633AC3"/>
    <w:rsid w:val="00636E5E"/>
    <w:rsid w:val="00640185"/>
    <w:rsid w:val="00650006"/>
    <w:rsid w:val="00650544"/>
    <w:rsid w:val="00650A74"/>
    <w:rsid w:val="006576A3"/>
    <w:rsid w:val="00665C4E"/>
    <w:rsid w:val="00684D04"/>
    <w:rsid w:val="006859A1"/>
    <w:rsid w:val="006877A4"/>
    <w:rsid w:val="00694D47"/>
    <w:rsid w:val="00696CFD"/>
    <w:rsid w:val="0069742C"/>
    <w:rsid w:val="006A04D3"/>
    <w:rsid w:val="006B7876"/>
    <w:rsid w:val="006C193B"/>
    <w:rsid w:val="006D408F"/>
    <w:rsid w:val="006F65E5"/>
    <w:rsid w:val="006F7E4A"/>
    <w:rsid w:val="00704175"/>
    <w:rsid w:val="00705EE2"/>
    <w:rsid w:val="00707909"/>
    <w:rsid w:val="00711C07"/>
    <w:rsid w:val="00740C32"/>
    <w:rsid w:val="00741987"/>
    <w:rsid w:val="00761B59"/>
    <w:rsid w:val="007620C8"/>
    <w:rsid w:val="00763B5F"/>
    <w:rsid w:val="007716F0"/>
    <w:rsid w:val="00773EC5"/>
    <w:rsid w:val="00787286"/>
    <w:rsid w:val="007A6D58"/>
    <w:rsid w:val="007B0F69"/>
    <w:rsid w:val="007B4C7E"/>
    <w:rsid w:val="007C2EFC"/>
    <w:rsid w:val="007C39A8"/>
    <w:rsid w:val="007C483B"/>
    <w:rsid w:val="007C5D7F"/>
    <w:rsid w:val="007D020C"/>
    <w:rsid w:val="007D4509"/>
    <w:rsid w:val="007F227C"/>
    <w:rsid w:val="007F51DC"/>
    <w:rsid w:val="00811035"/>
    <w:rsid w:val="00815BBD"/>
    <w:rsid w:val="008201A7"/>
    <w:rsid w:val="00822794"/>
    <w:rsid w:val="0085126B"/>
    <w:rsid w:val="00853837"/>
    <w:rsid w:val="00854557"/>
    <w:rsid w:val="00861F56"/>
    <w:rsid w:val="008674E4"/>
    <w:rsid w:val="00880577"/>
    <w:rsid w:val="00883454"/>
    <w:rsid w:val="008839DC"/>
    <w:rsid w:val="008840DA"/>
    <w:rsid w:val="008841C8"/>
    <w:rsid w:val="00887A1B"/>
    <w:rsid w:val="00890374"/>
    <w:rsid w:val="00894A30"/>
    <w:rsid w:val="00895300"/>
    <w:rsid w:val="008962E2"/>
    <w:rsid w:val="008C3986"/>
    <w:rsid w:val="008C5198"/>
    <w:rsid w:val="008C7E7A"/>
    <w:rsid w:val="008D332A"/>
    <w:rsid w:val="008D5D68"/>
    <w:rsid w:val="008E2E86"/>
    <w:rsid w:val="008E39EC"/>
    <w:rsid w:val="008E74AA"/>
    <w:rsid w:val="00900B89"/>
    <w:rsid w:val="00902367"/>
    <w:rsid w:val="00911BAC"/>
    <w:rsid w:val="009137DF"/>
    <w:rsid w:val="00914D94"/>
    <w:rsid w:val="009163C6"/>
    <w:rsid w:val="009173EC"/>
    <w:rsid w:val="00921C73"/>
    <w:rsid w:val="00927305"/>
    <w:rsid w:val="0093134C"/>
    <w:rsid w:val="0093761C"/>
    <w:rsid w:val="009419E2"/>
    <w:rsid w:val="00951628"/>
    <w:rsid w:val="00956402"/>
    <w:rsid w:val="00964926"/>
    <w:rsid w:val="00974E2B"/>
    <w:rsid w:val="009817FC"/>
    <w:rsid w:val="009849A7"/>
    <w:rsid w:val="00984C84"/>
    <w:rsid w:val="00990F00"/>
    <w:rsid w:val="00993ADD"/>
    <w:rsid w:val="009A007F"/>
    <w:rsid w:val="009A2BFB"/>
    <w:rsid w:val="009A315C"/>
    <w:rsid w:val="009D76CB"/>
    <w:rsid w:val="009D7B8A"/>
    <w:rsid w:val="009E32DF"/>
    <w:rsid w:val="009E33F1"/>
    <w:rsid w:val="009F1098"/>
    <w:rsid w:val="009F3A6F"/>
    <w:rsid w:val="009F5183"/>
    <w:rsid w:val="009F6F84"/>
    <w:rsid w:val="00A13CAC"/>
    <w:rsid w:val="00A20B87"/>
    <w:rsid w:val="00A222F7"/>
    <w:rsid w:val="00A22C2F"/>
    <w:rsid w:val="00A32589"/>
    <w:rsid w:val="00A379F1"/>
    <w:rsid w:val="00A41C6E"/>
    <w:rsid w:val="00A5339A"/>
    <w:rsid w:val="00A56C34"/>
    <w:rsid w:val="00A71570"/>
    <w:rsid w:val="00A724EF"/>
    <w:rsid w:val="00A74417"/>
    <w:rsid w:val="00A8076E"/>
    <w:rsid w:val="00A82857"/>
    <w:rsid w:val="00A8385E"/>
    <w:rsid w:val="00A95078"/>
    <w:rsid w:val="00A95B21"/>
    <w:rsid w:val="00A9730D"/>
    <w:rsid w:val="00AA35E9"/>
    <w:rsid w:val="00AC1AE7"/>
    <w:rsid w:val="00AC26DD"/>
    <w:rsid w:val="00AC4E94"/>
    <w:rsid w:val="00AC5DFA"/>
    <w:rsid w:val="00AC635D"/>
    <w:rsid w:val="00AC66FC"/>
    <w:rsid w:val="00AC7014"/>
    <w:rsid w:val="00AE4ACE"/>
    <w:rsid w:val="00AE5675"/>
    <w:rsid w:val="00AF56E2"/>
    <w:rsid w:val="00B12C1A"/>
    <w:rsid w:val="00B12DA9"/>
    <w:rsid w:val="00B12ED2"/>
    <w:rsid w:val="00B20273"/>
    <w:rsid w:val="00B2601A"/>
    <w:rsid w:val="00B34DA9"/>
    <w:rsid w:val="00B51470"/>
    <w:rsid w:val="00B56E3E"/>
    <w:rsid w:val="00B63488"/>
    <w:rsid w:val="00B72320"/>
    <w:rsid w:val="00B73CF7"/>
    <w:rsid w:val="00B94E77"/>
    <w:rsid w:val="00BA05C5"/>
    <w:rsid w:val="00BB0759"/>
    <w:rsid w:val="00BB0C85"/>
    <w:rsid w:val="00BB1940"/>
    <w:rsid w:val="00BC0423"/>
    <w:rsid w:val="00BD1ACC"/>
    <w:rsid w:val="00C14DF3"/>
    <w:rsid w:val="00C14E05"/>
    <w:rsid w:val="00C14F1A"/>
    <w:rsid w:val="00C16E90"/>
    <w:rsid w:val="00C17C45"/>
    <w:rsid w:val="00C21B5D"/>
    <w:rsid w:val="00C234FC"/>
    <w:rsid w:val="00C2367F"/>
    <w:rsid w:val="00C30C70"/>
    <w:rsid w:val="00C44E23"/>
    <w:rsid w:val="00C52FC1"/>
    <w:rsid w:val="00C5533B"/>
    <w:rsid w:val="00C55932"/>
    <w:rsid w:val="00C61927"/>
    <w:rsid w:val="00C75459"/>
    <w:rsid w:val="00C827D3"/>
    <w:rsid w:val="00C91BB3"/>
    <w:rsid w:val="00C961C4"/>
    <w:rsid w:val="00CA68BE"/>
    <w:rsid w:val="00CA6D2A"/>
    <w:rsid w:val="00CA7773"/>
    <w:rsid w:val="00CB1D77"/>
    <w:rsid w:val="00CB470D"/>
    <w:rsid w:val="00CD16FB"/>
    <w:rsid w:val="00CE327E"/>
    <w:rsid w:val="00CE3D6D"/>
    <w:rsid w:val="00CF0797"/>
    <w:rsid w:val="00CF2412"/>
    <w:rsid w:val="00D12C54"/>
    <w:rsid w:val="00D17727"/>
    <w:rsid w:val="00D2679B"/>
    <w:rsid w:val="00D41454"/>
    <w:rsid w:val="00D42DEF"/>
    <w:rsid w:val="00D4513A"/>
    <w:rsid w:val="00D51D55"/>
    <w:rsid w:val="00D52A2C"/>
    <w:rsid w:val="00D628E3"/>
    <w:rsid w:val="00D63730"/>
    <w:rsid w:val="00D77430"/>
    <w:rsid w:val="00D77E0A"/>
    <w:rsid w:val="00D80EDA"/>
    <w:rsid w:val="00D85E56"/>
    <w:rsid w:val="00D9614E"/>
    <w:rsid w:val="00DC3044"/>
    <w:rsid w:val="00DC357F"/>
    <w:rsid w:val="00DD08D8"/>
    <w:rsid w:val="00DD10F5"/>
    <w:rsid w:val="00DD2897"/>
    <w:rsid w:val="00DD3E11"/>
    <w:rsid w:val="00DF2022"/>
    <w:rsid w:val="00DF7E29"/>
    <w:rsid w:val="00E051BF"/>
    <w:rsid w:val="00E05E57"/>
    <w:rsid w:val="00E13063"/>
    <w:rsid w:val="00E15E97"/>
    <w:rsid w:val="00E207F6"/>
    <w:rsid w:val="00E22631"/>
    <w:rsid w:val="00E2643B"/>
    <w:rsid w:val="00E34405"/>
    <w:rsid w:val="00E37E43"/>
    <w:rsid w:val="00E42926"/>
    <w:rsid w:val="00E4430C"/>
    <w:rsid w:val="00E44D2C"/>
    <w:rsid w:val="00E46017"/>
    <w:rsid w:val="00E56451"/>
    <w:rsid w:val="00E61B3B"/>
    <w:rsid w:val="00E744C8"/>
    <w:rsid w:val="00E80D71"/>
    <w:rsid w:val="00E82585"/>
    <w:rsid w:val="00E96F72"/>
    <w:rsid w:val="00E97CC2"/>
    <w:rsid w:val="00EA2F75"/>
    <w:rsid w:val="00EA4323"/>
    <w:rsid w:val="00ED1E33"/>
    <w:rsid w:val="00ED310A"/>
    <w:rsid w:val="00ED32D6"/>
    <w:rsid w:val="00ED4A13"/>
    <w:rsid w:val="00EF45F4"/>
    <w:rsid w:val="00EF62C7"/>
    <w:rsid w:val="00F04F47"/>
    <w:rsid w:val="00F1320D"/>
    <w:rsid w:val="00F13F5F"/>
    <w:rsid w:val="00F170AC"/>
    <w:rsid w:val="00F249C2"/>
    <w:rsid w:val="00F27635"/>
    <w:rsid w:val="00F36BD5"/>
    <w:rsid w:val="00F36E15"/>
    <w:rsid w:val="00F4001F"/>
    <w:rsid w:val="00F4208B"/>
    <w:rsid w:val="00F43107"/>
    <w:rsid w:val="00F4704A"/>
    <w:rsid w:val="00F57268"/>
    <w:rsid w:val="00F64900"/>
    <w:rsid w:val="00F7002D"/>
    <w:rsid w:val="00F72164"/>
    <w:rsid w:val="00F74A7C"/>
    <w:rsid w:val="00F777F9"/>
    <w:rsid w:val="00F90B7A"/>
    <w:rsid w:val="00F94C7D"/>
    <w:rsid w:val="00F97AA7"/>
    <w:rsid w:val="00FA4007"/>
    <w:rsid w:val="00FA68A2"/>
    <w:rsid w:val="00FB30C7"/>
    <w:rsid w:val="00FB74C2"/>
    <w:rsid w:val="00FD09BE"/>
    <w:rsid w:val="00FD65BA"/>
    <w:rsid w:val="00FF127F"/>
    <w:rsid w:val="00FF3E92"/>
    <w:rsid w:val="4A3102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7C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76"/>
    <w:pPr>
      <w:spacing w:before="120" w:after="120" w:line="240" w:lineRule="auto"/>
    </w:pPr>
    <w:rPr>
      <w:rFonts w:ascii="Calibri Light" w:eastAsia="Times New Roman" w:hAnsi="Calibri Light" w:cs="Times New Roman"/>
      <w:kern w:val="0"/>
      <w:szCs w:val="20"/>
      <w:lang w:eastAsia="en-AU"/>
      <w14:ligatures w14:val="none"/>
    </w:rPr>
  </w:style>
  <w:style w:type="paragraph" w:styleId="Heading1">
    <w:name w:val="heading 1"/>
    <w:basedOn w:val="Normal"/>
    <w:next w:val="Normal"/>
    <w:link w:val="Heading1Char"/>
    <w:uiPriority w:val="9"/>
    <w:qFormat/>
    <w:rsid w:val="006B7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7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7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876"/>
    <w:rPr>
      <w:rFonts w:eastAsiaTheme="majorEastAsia" w:cstheme="majorBidi"/>
      <w:color w:val="272727" w:themeColor="text1" w:themeTint="D8"/>
    </w:rPr>
  </w:style>
  <w:style w:type="paragraph" w:styleId="Title">
    <w:name w:val="Title"/>
    <w:basedOn w:val="Normal"/>
    <w:next w:val="Normal"/>
    <w:link w:val="TitleChar"/>
    <w:uiPriority w:val="10"/>
    <w:qFormat/>
    <w:rsid w:val="006B78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876"/>
    <w:rPr>
      <w:rFonts w:asciiTheme="majorHAnsi" w:eastAsiaTheme="majorEastAsia" w:hAnsiTheme="majorHAnsi" w:cstheme="majorBidi"/>
      <w:spacing w:val="-10"/>
      <w:kern w:val="28"/>
      <w:sz w:val="56"/>
      <w:szCs w:val="56"/>
      <w:lang w:eastAsia="en-AU"/>
      <w14:ligatures w14:val="none"/>
    </w:rPr>
  </w:style>
  <w:style w:type="paragraph" w:styleId="Subtitle">
    <w:name w:val="Subtitle"/>
    <w:basedOn w:val="Normal"/>
    <w:next w:val="Normal"/>
    <w:link w:val="SubtitleChar"/>
    <w:uiPriority w:val="11"/>
    <w:qFormat/>
    <w:rsid w:val="006B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876"/>
    <w:pPr>
      <w:spacing w:before="160"/>
      <w:jc w:val="center"/>
    </w:pPr>
    <w:rPr>
      <w:i/>
      <w:iCs/>
      <w:color w:val="404040" w:themeColor="text1" w:themeTint="BF"/>
    </w:rPr>
  </w:style>
  <w:style w:type="character" w:customStyle="1" w:styleId="QuoteChar">
    <w:name w:val="Quote Char"/>
    <w:basedOn w:val="DefaultParagraphFont"/>
    <w:link w:val="Quote"/>
    <w:uiPriority w:val="29"/>
    <w:rsid w:val="006B7876"/>
    <w:rPr>
      <w:i/>
      <w:iCs/>
      <w:color w:val="404040" w:themeColor="text1" w:themeTint="BF"/>
    </w:rPr>
  </w:style>
  <w:style w:type="paragraph" w:styleId="ListParagraph">
    <w:name w:val="List Paragraph"/>
    <w:basedOn w:val="Normal"/>
    <w:uiPriority w:val="34"/>
    <w:qFormat/>
    <w:rsid w:val="006B7876"/>
    <w:pPr>
      <w:ind w:left="720"/>
      <w:contextualSpacing/>
    </w:pPr>
  </w:style>
  <w:style w:type="character" w:styleId="IntenseEmphasis">
    <w:name w:val="Intense Emphasis"/>
    <w:basedOn w:val="DefaultParagraphFont"/>
    <w:uiPriority w:val="21"/>
    <w:qFormat/>
    <w:rsid w:val="006B7876"/>
    <w:rPr>
      <w:i/>
      <w:iCs/>
      <w:color w:val="0F4761" w:themeColor="accent1" w:themeShade="BF"/>
    </w:rPr>
  </w:style>
  <w:style w:type="paragraph" w:styleId="IntenseQuote">
    <w:name w:val="Intense Quote"/>
    <w:basedOn w:val="Normal"/>
    <w:next w:val="Normal"/>
    <w:link w:val="IntenseQuoteChar"/>
    <w:uiPriority w:val="30"/>
    <w:qFormat/>
    <w:rsid w:val="006B7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876"/>
    <w:rPr>
      <w:i/>
      <w:iCs/>
      <w:color w:val="0F4761" w:themeColor="accent1" w:themeShade="BF"/>
    </w:rPr>
  </w:style>
  <w:style w:type="character" w:styleId="IntenseReference">
    <w:name w:val="Intense Reference"/>
    <w:basedOn w:val="DefaultParagraphFont"/>
    <w:uiPriority w:val="32"/>
    <w:qFormat/>
    <w:rsid w:val="006B7876"/>
    <w:rPr>
      <w:b/>
      <w:bCs/>
      <w:smallCaps/>
      <w:color w:val="0F4761" w:themeColor="accent1" w:themeShade="BF"/>
      <w:spacing w:val="5"/>
    </w:rPr>
  </w:style>
  <w:style w:type="paragraph" w:styleId="Footer">
    <w:name w:val="footer"/>
    <w:basedOn w:val="Normal"/>
    <w:link w:val="FooterChar"/>
    <w:uiPriority w:val="99"/>
    <w:rsid w:val="006B7876"/>
    <w:pPr>
      <w:tabs>
        <w:tab w:val="center" w:pos="4320"/>
        <w:tab w:val="right" w:pos="8640"/>
      </w:tabs>
    </w:pPr>
    <w:rPr>
      <w:sz w:val="20"/>
    </w:rPr>
  </w:style>
  <w:style w:type="character" w:customStyle="1" w:styleId="FooterChar">
    <w:name w:val="Footer Char"/>
    <w:basedOn w:val="DefaultParagraphFont"/>
    <w:link w:val="Footer"/>
    <w:uiPriority w:val="99"/>
    <w:rsid w:val="006B7876"/>
    <w:rPr>
      <w:rFonts w:ascii="Calibri Light" w:eastAsia="Times New Roman" w:hAnsi="Calibri Light" w:cs="Times New Roman"/>
      <w:kern w:val="0"/>
      <w:sz w:val="20"/>
      <w:szCs w:val="20"/>
      <w:lang w:eastAsia="en-AU"/>
      <w14:ligatures w14:val="none"/>
    </w:rPr>
  </w:style>
  <w:style w:type="paragraph" w:customStyle="1" w:styleId="Factsheettitle">
    <w:name w:val="Fact sheet title"/>
    <w:basedOn w:val="Normal"/>
    <w:qFormat/>
    <w:rsid w:val="006B7876"/>
    <w:pPr>
      <w:spacing w:after="600"/>
    </w:pPr>
    <w:rPr>
      <w:rFonts w:ascii="Calibri" w:hAnsi="Calibri"/>
      <w:color w:val="156082" w:themeColor="accent1"/>
      <w:spacing w:val="-14"/>
      <w:sz w:val="68"/>
      <w:szCs w:val="68"/>
    </w:rPr>
  </w:style>
  <w:style w:type="character" w:styleId="Hyperlink">
    <w:name w:val="Hyperlink"/>
    <w:uiPriority w:val="99"/>
    <w:rsid w:val="006B7876"/>
    <w:rPr>
      <w:color w:val="196B24" w:themeColor="accent3"/>
      <w:u w:val="single"/>
    </w:rPr>
  </w:style>
  <w:style w:type="paragraph" w:customStyle="1" w:styleId="Bullet">
    <w:name w:val="Bullet"/>
    <w:aliases w:val="Body,Bullet + line,b,b + line,b1,level 1,CG-Bullet,BodyNum,Bullet Char1,Bullet Char1 Char Char Char,Bullet Char1 Char Char Char Char,Bullet Char1 Char Char Char Char Char,b1 Char Char Char,bulleted"/>
    <w:basedOn w:val="Normal"/>
    <w:link w:val="BulletChar"/>
    <w:qFormat/>
    <w:rsid w:val="006B7876"/>
    <w:pPr>
      <w:numPr>
        <w:numId w:val="1"/>
      </w:numPr>
      <w:spacing w:before="0" w:line="276" w:lineRule="auto"/>
    </w:pPr>
  </w:style>
  <w:style w:type="character" w:customStyle="1" w:styleId="BulletChar">
    <w:name w:val="Bullet Char"/>
    <w:aliases w:val="b + line Char Char,b Char,b Char Char,b1 Char,b + line Char,Body Char,level 1 Char,Number Char,Bullet + line Char,Bullets Char,L Char,List Paragraph1 Char,List Paragraph11 Char,Recommendation Char,List Paragraph2 Char"/>
    <w:basedOn w:val="DefaultParagraphFont"/>
    <w:link w:val="Bullet"/>
    <w:qFormat/>
    <w:rsid w:val="006B7876"/>
    <w:rPr>
      <w:rFonts w:ascii="Calibri Light" w:eastAsia="Times New Roman" w:hAnsi="Calibri Light" w:cs="Times New Roman"/>
      <w:kern w:val="0"/>
      <w:szCs w:val="20"/>
      <w:lang w:eastAsia="en-AU"/>
      <w14:ligatures w14:val="none"/>
    </w:rPr>
  </w:style>
  <w:style w:type="paragraph" w:styleId="NoSpacing">
    <w:name w:val="No Spacing"/>
    <w:link w:val="NoSpacingChar"/>
    <w:uiPriority w:val="1"/>
    <w:qFormat/>
    <w:rsid w:val="006B7876"/>
    <w:pPr>
      <w:spacing w:after="0" w:line="240" w:lineRule="auto"/>
    </w:pPr>
    <w:rPr>
      <w:rFonts w:eastAsiaTheme="minorEastAsia"/>
      <w:kern w:val="0"/>
      <w:lang w:val="en-US"/>
      <w14:ligatures w14:val="none"/>
    </w:rPr>
  </w:style>
  <w:style w:type="character" w:styleId="FootnoteReference">
    <w:name w:val="footnote reference"/>
    <w:basedOn w:val="DefaultParagraphFont"/>
    <w:uiPriority w:val="99"/>
    <w:rsid w:val="006B7876"/>
    <w:rPr>
      <w:vertAlign w:val="superscript"/>
    </w:rPr>
  </w:style>
  <w:style w:type="paragraph" w:styleId="FootnoteText">
    <w:name w:val="footnote text"/>
    <w:basedOn w:val="Normal"/>
    <w:link w:val="FootnoteTextChar"/>
    <w:uiPriority w:val="99"/>
    <w:rsid w:val="006B7876"/>
    <w:pPr>
      <w:spacing w:before="0" w:after="0"/>
      <w:ind w:left="284" w:hanging="284"/>
    </w:pPr>
    <w:rPr>
      <w:sz w:val="20"/>
    </w:rPr>
  </w:style>
  <w:style w:type="character" w:customStyle="1" w:styleId="FootnoteTextChar">
    <w:name w:val="Footnote Text Char"/>
    <w:basedOn w:val="DefaultParagraphFont"/>
    <w:link w:val="FootnoteText"/>
    <w:uiPriority w:val="99"/>
    <w:rsid w:val="006B7876"/>
    <w:rPr>
      <w:rFonts w:ascii="Calibri Light" w:eastAsia="Times New Roman" w:hAnsi="Calibri Light" w:cs="Times New Roman"/>
      <w:kern w:val="0"/>
      <w:sz w:val="20"/>
      <w:szCs w:val="20"/>
      <w:lang w:eastAsia="en-AU"/>
      <w14:ligatures w14:val="none"/>
    </w:rPr>
  </w:style>
  <w:style w:type="character" w:customStyle="1" w:styleId="NoSpacingChar">
    <w:name w:val="No Spacing Char"/>
    <w:basedOn w:val="DefaultParagraphFont"/>
    <w:link w:val="NoSpacing"/>
    <w:uiPriority w:val="1"/>
    <w:rsid w:val="006B7876"/>
    <w:rPr>
      <w:rFonts w:eastAsiaTheme="minorEastAsia"/>
      <w:kern w:val="0"/>
      <w:lang w:val="en-US"/>
      <w14:ligatures w14:val="none"/>
    </w:rPr>
  </w:style>
  <w:style w:type="paragraph" w:customStyle="1" w:styleId="SecurityClassificationHeader">
    <w:name w:val="Security Classification Header"/>
    <w:link w:val="SecurityClassificationHeaderChar"/>
    <w:rsid w:val="006B7876"/>
    <w:pPr>
      <w:spacing w:before="360" w:after="60" w:line="240" w:lineRule="auto"/>
      <w:jc w:val="center"/>
    </w:pPr>
    <w:rPr>
      <w:rFonts w:ascii="Times New Roman" w:eastAsia="Times New Roman" w:hAnsi="Times New Roman" w:cs="Calibri"/>
      <w:b/>
      <w:color w:val="FF0000"/>
      <w:kern w:val="0"/>
      <w:sz w:val="24"/>
      <w:szCs w:val="24"/>
      <w:lang w:eastAsia="en-AU"/>
      <w14:ligatures w14:val="none"/>
    </w:rPr>
  </w:style>
  <w:style w:type="character" w:customStyle="1" w:styleId="SecurityClassificationHeaderChar">
    <w:name w:val="Security Classification Header Char"/>
    <w:basedOn w:val="DefaultParagraphFont"/>
    <w:link w:val="SecurityClassificationHeader"/>
    <w:rsid w:val="006B7876"/>
    <w:rPr>
      <w:rFonts w:ascii="Times New Roman" w:eastAsia="Times New Roman" w:hAnsi="Times New Roman" w:cs="Calibri"/>
      <w:b/>
      <w:color w:val="FF0000"/>
      <w:kern w:val="0"/>
      <w:sz w:val="24"/>
      <w:szCs w:val="24"/>
      <w:lang w:eastAsia="en-AU"/>
      <w14:ligatures w14:val="none"/>
    </w:rPr>
  </w:style>
  <w:style w:type="character" w:styleId="UnresolvedMention">
    <w:name w:val="Unresolved Mention"/>
    <w:basedOn w:val="DefaultParagraphFont"/>
    <w:uiPriority w:val="99"/>
    <w:semiHidden/>
    <w:unhideWhenUsed/>
    <w:rsid w:val="00FD65BA"/>
    <w:rPr>
      <w:color w:val="605E5C"/>
      <w:shd w:val="clear" w:color="auto" w:fill="E1DFDD"/>
    </w:rPr>
  </w:style>
  <w:style w:type="paragraph" w:styleId="Header">
    <w:name w:val="header"/>
    <w:basedOn w:val="Normal"/>
    <w:link w:val="HeaderChar"/>
    <w:uiPriority w:val="99"/>
    <w:unhideWhenUsed/>
    <w:rsid w:val="00F97AA7"/>
    <w:pPr>
      <w:tabs>
        <w:tab w:val="center" w:pos="4513"/>
        <w:tab w:val="right" w:pos="9026"/>
      </w:tabs>
      <w:spacing w:before="0" w:after="0"/>
    </w:pPr>
  </w:style>
  <w:style w:type="character" w:customStyle="1" w:styleId="HeaderChar">
    <w:name w:val="Header Char"/>
    <w:basedOn w:val="DefaultParagraphFont"/>
    <w:link w:val="Header"/>
    <w:uiPriority w:val="99"/>
    <w:rsid w:val="00F97AA7"/>
    <w:rPr>
      <w:rFonts w:ascii="Calibri Light" w:eastAsia="Times New Roman" w:hAnsi="Calibri Light" w:cs="Times New Roman"/>
      <w:kern w:val="0"/>
      <w:szCs w:val="20"/>
      <w:lang w:eastAsia="en-AU"/>
      <w14:ligatures w14:val="none"/>
    </w:rPr>
  </w:style>
  <w:style w:type="paragraph" w:styleId="Revision">
    <w:name w:val="Revision"/>
    <w:hidden/>
    <w:uiPriority w:val="99"/>
    <w:semiHidden/>
    <w:rsid w:val="000100B7"/>
    <w:pPr>
      <w:spacing w:after="0" w:line="240" w:lineRule="auto"/>
    </w:pPr>
    <w:rPr>
      <w:rFonts w:ascii="Calibri Light" w:eastAsia="Times New Roman" w:hAnsi="Calibri Light" w:cs="Times New Roman"/>
      <w:kern w:val="0"/>
      <w:szCs w:val="20"/>
      <w:lang w:eastAsia="en-AU"/>
      <w14:ligatures w14:val="none"/>
    </w:rPr>
  </w:style>
  <w:style w:type="character" w:styleId="CommentReference">
    <w:name w:val="annotation reference"/>
    <w:basedOn w:val="DefaultParagraphFont"/>
    <w:uiPriority w:val="99"/>
    <w:semiHidden/>
    <w:unhideWhenUsed/>
    <w:rsid w:val="0023662C"/>
    <w:rPr>
      <w:sz w:val="16"/>
      <w:szCs w:val="16"/>
    </w:rPr>
  </w:style>
  <w:style w:type="paragraph" w:styleId="CommentText">
    <w:name w:val="annotation text"/>
    <w:basedOn w:val="Normal"/>
    <w:link w:val="CommentTextChar"/>
    <w:uiPriority w:val="99"/>
    <w:unhideWhenUsed/>
    <w:rsid w:val="0023662C"/>
    <w:rPr>
      <w:sz w:val="20"/>
    </w:rPr>
  </w:style>
  <w:style w:type="character" w:customStyle="1" w:styleId="CommentTextChar">
    <w:name w:val="Comment Text Char"/>
    <w:basedOn w:val="DefaultParagraphFont"/>
    <w:link w:val="CommentText"/>
    <w:uiPriority w:val="99"/>
    <w:rsid w:val="0023662C"/>
    <w:rPr>
      <w:rFonts w:ascii="Calibri Light" w:eastAsia="Times New Roman" w:hAnsi="Calibri Light"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23662C"/>
    <w:rPr>
      <w:b/>
      <w:bCs/>
    </w:rPr>
  </w:style>
  <w:style w:type="character" w:customStyle="1" w:styleId="CommentSubjectChar">
    <w:name w:val="Comment Subject Char"/>
    <w:basedOn w:val="CommentTextChar"/>
    <w:link w:val="CommentSubject"/>
    <w:uiPriority w:val="99"/>
    <w:semiHidden/>
    <w:rsid w:val="0023662C"/>
    <w:rPr>
      <w:rFonts w:ascii="Calibri Light" w:eastAsia="Times New Roman" w:hAnsi="Calibri Light" w:cs="Times New Roman"/>
      <w:b/>
      <w:bCs/>
      <w:kern w:val="0"/>
      <w:sz w:val="20"/>
      <w:szCs w:val="20"/>
      <w:lang w:eastAsia="en-AU"/>
      <w14:ligatures w14:val="none"/>
    </w:rPr>
  </w:style>
  <w:style w:type="character" w:styleId="FollowedHyperlink">
    <w:name w:val="FollowedHyperlink"/>
    <w:basedOn w:val="DefaultParagraphFont"/>
    <w:uiPriority w:val="99"/>
    <w:semiHidden/>
    <w:unhideWhenUsed/>
    <w:rsid w:val="00260D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c.gov.au/business/mergers-and-acquisitions/informal-merger-review-pro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eigninvestment.gov.au/sites/foreigninvestment.gov.au/files/2025-09/merger-reform-australian-revenue-template.xls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ministers.treasury.gov.au/ministers/jim-chalmers-2022/media-releases/reforms-strengthen-australias-foreign-invest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6637</Characters>
  <Application>Microsoft Office Word</Application>
  <DocSecurity>0</DocSecurity>
  <Lines>130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Commencement of new merger control regime and interaction with the foreign investment framework</dc:title>
  <dc:subject/>
  <dc:creator>Treasury</dc:creator>
  <cp:keywords/>
  <dc:description/>
  <cp:lastModifiedBy/>
  <cp:revision>1</cp:revision>
  <dcterms:created xsi:type="dcterms:W3CDTF">2026-01-07T04:48:00Z</dcterms:created>
  <dcterms:modified xsi:type="dcterms:W3CDTF">2026-01-07T04:48:00Z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2026-01-07T04:48:32Z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d2945553-68ed-467e-9c72-baafa4bde316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