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B0C4E" w14:textId="47C1E93F" w:rsidR="00365023" w:rsidRPr="00411BB1" w:rsidRDefault="00365023">
      <w:pPr>
        <w:pStyle w:val="Heading2"/>
      </w:pPr>
      <w:r w:rsidRPr="00411BB1">
        <w:t>Monetary thresholds</w:t>
      </w:r>
      <w:r w:rsidR="00B84807" w:rsidRPr="00411BB1">
        <w:t xml:space="preserve"> applicable from </w:t>
      </w:r>
      <w:r w:rsidR="00C93A21" w:rsidRPr="00411BB1">
        <w:t>1 January 202</w:t>
      </w:r>
      <w:r w:rsidR="00913804">
        <w:t>6</w:t>
      </w:r>
      <w:r w:rsidR="007D6C5B">
        <w:rPr>
          <w:rStyle w:val="FootnoteReference"/>
          <w:sz w:val="32"/>
          <w:szCs w:val="28"/>
        </w:rPr>
        <w:footnoteReference w:id="2"/>
      </w:r>
    </w:p>
    <w:p w14:paraId="7E62A6F3" w14:textId="53E5D79D" w:rsidR="007D6C5B" w:rsidRPr="00983212" w:rsidRDefault="007D6C5B" w:rsidP="005C2270">
      <w:pPr>
        <w:jc w:val="both"/>
        <w:rPr>
          <w:b/>
          <w:sz w:val="22"/>
          <w:szCs w:val="22"/>
        </w:rPr>
      </w:pPr>
      <w:bookmarkStart w:id="0" w:name="_Australian_Urban_Land"/>
      <w:bookmarkStart w:id="1" w:name="_Agribusiness"/>
      <w:bookmarkStart w:id="2" w:name="_Direct_Investment"/>
      <w:bookmarkStart w:id="3" w:name="_Chilean_Investor"/>
      <w:bookmarkEnd w:id="0"/>
      <w:bookmarkEnd w:id="1"/>
      <w:bookmarkEnd w:id="2"/>
      <w:bookmarkEnd w:id="3"/>
      <w:r w:rsidRPr="00983212">
        <w:rPr>
          <w:b/>
          <w:bCs/>
          <w:sz w:val="22"/>
          <w:szCs w:val="22"/>
        </w:rPr>
        <w:t>Important notice</w:t>
      </w:r>
      <w:r w:rsidRPr="00983212">
        <w:rPr>
          <w:b/>
          <w:sz w:val="22"/>
          <w:szCs w:val="22"/>
        </w:rPr>
        <w:t xml:space="preserve">: </w:t>
      </w:r>
      <w:r w:rsidRPr="00983212">
        <w:rPr>
          <w:bCs/>
          <w:sz w:val="22"/>
          <w:szCs w:val="22"/>
        </w:rPr>
        <w:t xml:space="preserve">This document provides a general summary of the relevant law and therefore may include some generalisations about the law. Some provisions of the law referred to have exceptions or important qualifications, not all of which may be described in </w:t>
      </w:r>
      <w:r w:rsidR="00DB5216" w:rsidRPr="00983212">
        <w:rPr>
          <w:bCs/>
          <w:sz w:val="22"/>
          <w:szCs w:val="22"/>
        </w:rPr>
        <w:t>this document</w:t>
      </w:r>
      <w:r w:rsidRPr="00983212">
        <w:rPr>
          <w:bCs/>
          <w:sz w:val="22"/>
          <w:szCs w:val="22"/>
        </w:rPr>
        <w:t xml:space="preserve">. The Commonwealth does not guarantee the accuracy, currency or completeness of any information contained in this </w:t>
      </w:r>
      <w:r w:rsidRPr="00983212">
        <w:rPr>
          <w:sz w:val="22"/>
          <w:szCs w:val="22"/>
        </w:rPr>
        <w:t>document</w:t>
      </w:r>
      <w:r w:rsidRPr="00983212">
        <w:rPr>
          <w:bCs/>
          <w:sz w:val="22"/>
          <w:szCs w:val="22"/>
        </w:rPr>
        <w:t xml:space="preserve"> and will not accept responsibility for any loss caused by reliance on it. Your </w:t>
      </w:r>
      <w:proofErr w:type="gramStart"/>
      <w:r w:rsidRPr="00983212">
        <w:rPr>
          <w:bCs/>
          <w:sz w:val="22"/>
          <w:szCs w:val="22"/>
        </w:rPr>
        <w:t xml:space="preserve">particular </w:t>
      </w:r>
      <w:r w:rsidR="005C2270" w:rsidRPr="00983212">
        <w:rPr>
          <w:bCs/>
          <w:sz w:val="22"/>
          <w:szCs w:val="22"/>
        </w:rPr>
        <w:t>c</w:t>
      </w:r>
      <w:r w:rsidRPr="00983212">
        <w:rPr>
          <w:bCs/>
          <w:sz w:val="22"/>
          <w:szCs w:val="22"/>
        </w:rPr>
        <w:t>ircumstances</w:t>
      </w:r>
      <w:proofErr w:type="gramEnd"/>
      <w:r w:rsidRPr="00983212">
        <w:rPr>
          <w:bCs/>
          <w:sz w:val="22"/>
          <w:szCs w:val="22"/>
        </w:rPr>
        <w:t xml:space="preserve"> must be taken into account when determining how the law applies to you. This </w:t>
      </w:r>
      <w:r w:rsidR="00DB5216" w:rsidRPr="00983212">
        <w:rPr>
          <w:bCs/>
          <w:sz w:val="22"/>
          <w:szCs w:val="22"/>
        </w:rPr>
        <w:t>document</w:t>
      </w:r>
      <w:r w:rsidRPr="00983212">
        <w:rPr>
          <w:bCs/>
          <w:sz w:val="22"/>
          <w:szCs w:val="22"/>
        </w:rPr>
        <w:t xml:space="preserve"> is therefore not a substitute for obtaining your own legal advice.</w:t>
      </w:r>
      <w:r w:rsidRPr="00983212">
        <w:rPr>
          <w:b/>
          <w:sz w:val="22"/>
          <w:szCs w:val="22"/>
        </w:rPr>
        <w:t> </w:t>
      </w:r>
    </w:p>
    <w:p w14:paraId="3CC10428" w14:textId="6A7118DA" w:rsidR="00365023" w:rsidRPr="0028795A" w:rsidRDefault="00575A70" w:rsidP="0028795A">
      <w:pPr>
        <w:pStyle w:val="Heading3"/>
      </w:pPr>
      <w:r w:rsidRPr="0028795A">
        <w:t>Land investments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06"/>
        <w:gridCol w:w="1793"/>
        <w:gridCol w:w="1687"/>
        <w:gridCol w:w="3302"/>
      </w:tblGrid>
      <w:tr w:rsidR="003F1605" w:rsidRPr="00385F08" w14:paraId="5D5B5DF4" w14:textId="77777777" w:rsidTr="009E78BA">
        <w:trPr>
          <w:tblHeader/>
        </w:trPr>
        <w:tc>
          <w:tcPr>
            <w:tcW w:w="1005" w:type="pct"/>
            <w:shd w:val="clear" w:color="auto" w:fill="D9D9D9" w:themeFill="background1" w:themeFillShade="D9"/>
            <w:tcMar>
              <w:top w:w="120" w:type="dxa"/>
              <w:left w:w="120" w:type="dxa"/>
              <w:bottom w:w="120" w:type="dxa"/>
              <w:right w:w="120" w:type="dxa"/>
            </w:tcMar>
            <w:vAlign w:val="center"/>
            <w:hideMark/>
          </w:tcPr>
          <w:p w14:paraId="53C93956" w14:textId="77777777" w:rsidR="005E13DB" w:rsidRPr="00385F08" w:rsidRDefault="005E13DB" w:rsidP="00D118F7">
            <w:pPr>
              <w:spacing w:after="0"/>
              <w:rPr>
                <w:rFonts w:asciiTheme="minorHAnsi" w:hAnsiTheme="minorHAnsi" w:cstheme="minorHAnsi"/>
                <w:b/>
                <w:sz w:val="22"/>
                <w:szCs w:val="22"/>
              </w:rPr>
            </w:pPr>
            <w:r w:rsidRPr="00385F08">
              <w:rPr>
                <w:rFonts w:asciiTheme="minorHAnsi" w:hAnsiTheme="minorHAnsi" w:cstheme="minorHAnsi"/>
                <w:b/>
                <w:sz w:val="22"/>
                <w:szCs w:val="22"/>
              </w:rPr>
              <w:t>Investor</w:t>
            </w:r>
          </w:p>
        </w:tc>
        <w:tc>
          <w:tcPr>
            <w:tcW w:w="1056" w:type="pct"/>
            <w:shd w:val="clear" w:color="auto" w:fill="D9D9D9" w:themeFill="background1" w:themeFillShade="D9"/>
            <w:tcMar>
              <w:top w:w="120" w:type="dxa"/>
              <w:left w:w="120" w:type="dxa"/>
              <w:bottom w:w="120" w:type="dxa"/>
              <w:right w:w="120" w:type="dxa"/>
            </w:tcMar>
            <w:vAlign w:val="center"/>
            <w:hideMark/>
          </w:tcPr>
          <w:p w14:paraId="69A98B08" w14:textId="59342800" w:rsidR="005E13DB" w:rsidRPr="00385F08" w:rsidRDefault="006A431A" w:rsidP="00D118F7">
            <w:pPr>
              <w:spacing w:after="0"/>
              <w:rPr>
                <w:rFonts w:asciiTheme="minorHAnsi" w:hAnsiTheme="minorHAnsi" w:cstheme="minorHAnsi"/>
                <w:b/>
                <w:sz w:val="22"/>
                <w:szCs w:val="22"/>
              </w:rPr>
            </w:pPr>
            <w:r>
              <w:rPr>
                <w:rFonts w:asciiTheme="minorHAnsi" w:hAnsiTheme="minorHAnsi" w:cstheme="minorHAnsi"/>
                <w:b/>
                <w:sz w:val="22"/>
                <w:szCs w:val="22"/>
              </w:rPr>
              <w:t>Target</w:t>
            </w:r>
          </w:p>
        </w:tc>
        <w:tc>
          <w:tcPr>
            <w:tcW w:w="994" w:type="pct"/>
            <w:shd w:val="clear" w:color="auto" w:fill="D9D9D9" w:themeFill="background1" w:themeFillShade="D9"/>
          </w:tcPr>
          <w:p w14:paraId="6081F9A3" w14:textId="40EF7758" w:rsidR="005E13DB" w:rsidRPr="00385F08" w:rsidRDefault="001241B7" w:rsidP="00D118F7">
            <w:pPr>
              <w:spacing w:after="0"/>
              <w:rPr>
                <w:rFonts w:asciiTheme="minorHAnsi" w:hAnsiTheme="minorHAnsi" w:cstheme="minorHAnsi"/>
                <w:b/>
                <w:sz w:val="22"/>
                <w:szCs w:val="22"/>
              </w:rPr>
            </w:pPr>
            <w:r>
              <w:rPr>
                <w:rFonts w:asciiTheme="minorHAnsi" w:hAnsiTheme="minorHAnsi" w:cstheme="minorHAnsi"/>
                <w:b/>
                <w:sz w:val="22"/>
                <w:szCs w:val="22"/>
              </w:rPr>
              <w:t>Type of interest</w:t>
            </w:r>
          </w:p>
        </w:tc>
        <w:tc>
          <w:tcPr>
            <w:tcW w:w="1945" w:type="pct"/>
            <w:shd w:val="clear" w:color="auto" w:fill="D9D9D9" w:themeFill="background1" w:themeFillShade="D9"/>
            <w:tcMar>
              <w:top w:w="120" w:type="dxa"/>
              <w:left w:w="120" w:type="dxa"/>
              <w:bottom w:w="120" w:type="dxa"/>
              <w:right w:w="120" w:type="dxa"/>
            </w:tcMar>
            <w:vAlign w:val="center"/>
            <w:hideMark/>
          </w:tcPr>
          <w:p w14:paraId="2847963D" w14:textId="47BD0C16" w:rsidR="005E13DB" w:rsidRPr="00385F08" w:rsidRDefault="0061374D" w:rsidP="00D118F7">
            <w:pPr>
              <w:spacing w:after="0"/>
              <w:rPr>
                <w:rFonts w:asciiTheme="minorHAnsi" w:hAnsiTheme="minorHAnsi" w:cstheme="minorHAnsi"/>
                <w:b/>
                <w:sz w:val="22"/>
                <w:szCs w:val="22"/>
              </w:rPr>
            </w:pPr>
            <w:r>
              <w:rPr>
                <w:rFonts w:asciiTheme="minorHAnsi" w:hAnsiTheme="minorHAnsi" w:cstheme="minorHAnsi"/>
                <w:b/>
                <w:sz w:val="22"/>
                <w:szCs w:val="22"/>
              </w:rPr>
              <w:t>Monetary t</w:t>
            </w:r>
            <w:r w:rsidR="005E13DB" w:rsidRPr="00385F08">
              <w:rPr>
                <w:rFonts w:asciiTheme="minorHAnsi" w:hAnsiTheme="minorHAnsi" w:cstheme="minorHAnsi"/>
                <w:b/>
                <w:sz w:val="22"/>
                <w:szCs w:val="22"/>
              </w:rPr>
              <w:t>hreshold</w:t>
            </w:r>
            <w:r w:rsidR="004C0EF1">
              <w:rPr>
                <w:rStyle w:val="FootnoteReference"/>
                <w:rFonts w:asciiTheme="minorHAnsi" w:hAnsiTheme="minorHAnsi"/>
                <w:b/>
                <w:sz w:val="22"/>
                <w:szCs w:val="22"/>
              </w:rPr>
              <w:footnoteReference w:id="3"/>
            </w:r>
          </w:p>
        </w:tc>
      </w:tr>
      <w:tr w:rsidR="003F1605" w:rsidRPr="00385F08" w14:paraId="59F1D364" w14:textId="77777777" w:rsidTr="009E78BA">
        <w:tc>
          <w:tcPr>
            <w:tcW w:w="1005" w:type="pct"/>
            <w:vMerge w:val="restart"/>
            <w:tcMar>
              <w:top w:w="120" w:type="dxa"/>
              <w:left w:w="120" w:type="dxa"/>
              <w:bottom w:w="120" w:type="dxa"/>
              <w:right w:w="120" w:type="dxa"/>
            </w:tcMar>
            <w:vAlign w:val="center"/>
            <w:hideMark/>
          </w:tcPr>
          <w:p w14:paraId="15303189" w14:textId="77777777" w:rsidR="001C1814" w:rsidRPr="00385F08" w:rsidRDefault="001C1814" w:rsidP="00D118F7">
            <w:pPr>
              <w:spacing w:after="0"/>
              <w:rPr>
                <w:rFonts w:asciiTheme="minorHAnsi" w:hAnsiTheme="minorHAnsi" w:cstheme="minorHAnsi"/>
                <w:b/>
                <w:sz w:val="22"/>
                <w:szCs w:val="22"/>
              </w:rPr>
            </w:pPr>
            <w:r w:rsidRPr="00385F08">
              <w:rPr>
                <w:rFonts w:asciiTheme="minorHAnsi" w:hAnsiTheme="minorHAnsi" w:cstheme="minorHAnsi"/>
                <w:b/>
                <w:sz w:val="22"/>
                <w:szCs w:val="22"/>
              </w:rPr>
              <w:t>All investors</w:t>
            </w:r>
          </w:p>
          <w:p w14:paraId="74E90AB7" w14:textId="77777777" w:rsidR="001C1814" w:rsidRPr="00385F08" w:rsidRDefault="001C1814" w:rsidP="00D118F7">
            <w:pPr>
              <w:spacing w:after="0"/>
              <w:rPr>
                <w:rFonts w:asciiTheme="minorHAnsi" w:hAnsiTheme="minorHAnsi" w:cstheme="minorHAnsi"/>
                <w:b/>
                <w:sz w:val="22"/>
                <w:szCs w:val="22"/>
              </w:rPr>
            </w:pPr>
          </w:p>
        </w:tc>
        <w:tc>
          <w:tcPr>
            <w:tcW w:w="1056" w:type="pct"/>
            <w:tcMar>
              <w:top w:w="120" w:type="dxa"/>
              <w:left w:w="120" w:type="dxa"/>
              <w:bottom w:w="120" w:type="dxa"/>
              <w:right w:w="120" w:type="dxa"/>
            </w:tcMar>
            <w:vAlign w:val="center"/>
            <w:hideMark/>
          </w:tcPr>
          <w:p w14:paraId="2B4D064B" w14:textId="77777777" w:rsidR="001C1814" w:rsidRPr="00385F08" w:rsidRDefault="001C1814" w:rsidP="00D118F7">
            <w:pPr>
              <w:spacing w:after="0"/>
              <w:rPr>
                <w:rFonts w:asciiTheme="minorHAnsi" w:hAnsiTheme="minorHAnsi" w:cstheme="minorHAnsi"/>
                <w:sz w:val="22"/>
                <w:szCs w:val="22"/>
              </w:rPr>
            </w:pPr>
            <w:r w:rsidRPr="00385F08">
              <w:rPr>
                <w:rFonts w:asciiTheme="minorHAnsi" w:hAnsiTheme="minorHAnsi" w:cstheme="minorHAnsi"/>
                <w:sz w:val="22"/>
                <w:szCs w:val="22"/>
              </w:rPr>
              <w:t xml:space="preserve">National security land </w:t>
            </w:r>
          </w:p>
        </w:tc>
        <w:tc>
          <w:tcPr>
            <w:tcW w:w="994" w:type="pct"/>
            <w:vMerge w:val="restart"/>
            <w:vAlign w:val="center"/>
          </w:tcPr>
          <w:p w14:paraId="04219E73" w14:textId="2C285511" w:rsidR="001C1814" w:rsidRPr="00385F08" w:rsidRDefault="001C1814" w:rsidP="000C5E6D">
            <w:pPr>
              <w:spacing w:after="0"/>
              <w:rPr>
                <w:rFonts w:asciiTheme="minorHAnsi" w:hAnsiTheme="minorHAnsi" w:cstheme="minorHAnsi"/>
                <w:sz w:val="22"/>
                <w:szCs w:val="22"/>
              </w:rPr>
            </w:pPr>
            <w:r>
              <w:rPr>
                <w:rFonts w:asciiTheme="minorHAnsi" w:hAnsiTheme="minorHAnsi" w:cstheme="minorHAnsi"/>
                <w:sz w:val="22"/>
                <w:szCs w:val="22"/>
              </w:rPr>
              <w:t>Any</w:t>
            </w:r>
            <w:bookmarkStart w:id="4" w:name="_Ref194582551"/>
            <w:r>
              <w:rPr>
                <w:rStyle w:val="FootnoteReference"/>
                <w:rFonts w:asciiTheme="minorHAnsi" w:hAnsiTheme="minorHAnsi"/>
                <w:sz w:val="22"/>
                <w:szCs w:val="22"/>
              </w:rPr>
              <w:footnoteReference w:id="4"/>
            </w:r>
            <w:bookmarkEnd w:id="4"/>
          </w:p>
        </w:tc>
        <w:tc>
          <w:tcPr>
            <w:tcW w:w="1945" w:type="pct"/>
            <w:vMerge w:val="restart"/>
            <w:tcMar>
              <w:top w:w="120" w:type="dxa"/>
              <w:left w:w="120" w:type="dxa"/>
              <w:bottom w:w="120" w:type="dxa"/>
              <w:right w:w="120" w:type="dxa"/>
            </w:tcMar>
            <w:vAlign w:val="center"/>
            <w:hideMark/>
          </w:tcPr>
          <w:p w14:paraId="44F72FCE" w14:textId="2E9DF986" w:rsidR="001C1814" w:rsidRPr="00385F08" w:rsidRDefault="001C1814" w:rsidP="00D118F7">
            <w:pPr>
              <w:spacing w:after="0"/>
              <w:rPr>
                <w:rFonts w:asciiTheme="minorHAnsi" w:hAnsiTheme="minorHAnsi" w:cstheme="minorHAnsi"/>
                <w:sz w:val="22"/>
                <w:szCs w:val="22"/>
              </w:rPr>
            </w:pPr>
            <w:r w:rsidRPr="00385F08">
              <w:rPr>
                <w:rFonts w:asciiTheme="minorHAnsi" w:hAnsiTheme="minorHAnsi" w:cstheme="minorHAnsi"/>
                <w:sz w:val="22"/>
                <w:szCs w:val="22"/>
              </w:rPr>
              <w:t>$0</w:t>
            </w:r>
            <w:r>
              <w:rPr>
                <w:rFonts w:asciiTheme="minorHAnsi" w:hAnsiTheme="minorHAnsi" w:cstheme="minorHAnsi"/>
                <w:sz w:val="22"/>
                <w:szCs w:val="22"/>
              </w:rPr>
              <w:t xml:space="preserve"> or more</w:t>
            </w:r>
          </w:p>
        </w:tc>
      </w:tr>
      <w:tr w:rsidR="003F1605" w:rsidRPr="00385F08" w14:paraId="0684D8F2" w14:textId="77777777" w:rsidTr="009E78BA">
        <w:tc>
          <w:tcPr>
            <w:tcW w:w="1005" w:type="pct"/>
            <w:vMerge/>
            <w:vAlign w:val="center"/>
            <w:hideMark/>
          </w:tcPr>
          <w:p w14:paraId="2D479033" w14:textId="77777777" w:rsidR="001C1814" w:rsidRPr="00385F08" w:rsidRDefault="001C1814" w:rsidP="00D118F7">
            <w:pPr>
              <w:spacing w:after="0"/>
              <w:rPr>
                <w:rFonts w:asciiTheme="minorHAnsi" w:hAnsiTheme="minorHAnsi" w:cstheme="minorHAnsi"/>
                <w:b/>
                <w:sz w:val="22"/>
                <w:szCs w:val="22"/>
                <w:lang w:eastAsia="en-US"/>
              </w:rPr>
            </w:pPr>
          </w:p>
        </w:tc>
        <w:tc>
          <w:tcPr>
            <w:tcW w:w="1056" w:type="pct"/>
            <w:tcMar>
              <w:top w:w="120" w:type="dxa"/>
              <w:left w:w="120" w:type="dxa"/>
              <w:bottom w:w="120" w:type="dxa"/>
              <w:right w:w="120" w:type="dxa"/>
            </w:tcMar>
            <w:vAlign w:val="center"/>
            <w:hideMark/>
          </w:tcPr>
          <w:p w14:paraId="2D73CB72" w14:textId="77777777" w:rsidR="001C1814" w:rsidRPr="00385F08" w:rsidRDefault="001C1814" w:rsidP="00D118F7">
            <w:pPr>
              <w:spacing w:after="0"/>
              <w:rPr>
                <w:rFonts w:asciiTheme="minorHAnsi" w:hAnsiTheme="minorHAnsi" w:cstheme="minorHAnsi"/>
                <w:sz w:val="22"/>
                <w:szCs w:val="22"/>
              </w:rPr>
            </w:pPr>
            <w:r w:rsidRPr="00385F08">
              <w:rPr>
                <w:rFonts w:asciiTheme="minorHAnsi" w:hAnsiTheme="minorHAnsi" w:cstheme="minorHAnsi"/>
                <w:sz w:val="22"/>
                <w:szCs w:val="22"/>
              </w:rPr>
              <w:t>Residential land</w:t>
            </w:r>
          </w:p>
        </w:tc>
        <w:tc>
          <w:tcPr>
            <w:tcW w:w="994" w:type="pct"/>
            <w:vMerge/>
            <w:vAlign w:val="center"/>
          </w:tcPr>
          <w:p w14:paraId="57507DBC" w14:textId="3848F41D" w:rsidR="001C1814" w:rsidRPr="00385F08" w:rsidRDefault="001C1814" w:rsidP="000C5E6D">
            <w:pPr>
              <w:spacing w:after="0"/>
              <w:rPr>
                <w:rFonts w:asciiTheme="minorHAnsi" w:hAnsiTheme="minorHAnsi" w:cstheme="minorHAnsi"/>
                <w:sz w:val="22"/>
                <w:szCs w:val="22"/>
              </w:rPr>
            </w:pPr>
          </w:p>
        </w:tc>
        <w:tc>
          <w:tcPr>
            <w:tcW w:w="1945" w:type="pct"/>
            <w:vMerge/>
            <w:tcMar>
              <w:top w:w="120" w:type="dxa"/>
              <w:left w:w="120" w:type="dxa"/>
              <w:bottom w:w="120" w:type="dxa"/>
              <w:right w:w="120" w:type="dxa"/>
            </w:tcMar>
            <w:vAlign w:val="center"/>
            <w:hideMark/>
          </w:tcPr>
          <w:p w14:paraId="4E50A2DD" w14:textId="0BFD1ED3" w:rsidR="001C1814" w:rsidRPr="00385F08" w:rsidRDefault="001C1814" w:rsidP="00D118F7">
            <w:pPr>
              <w:spacing w:after="0"/>
              <w:rPr>
                <w:rFonts w:asciiTheme="minorHAnsi" w:hAnsiTheme="minorHAnsi" w:cstheme="minorHAnsi"/>
                <w:sz w:val="22"/>
                <w:szCs w:val="22"/>
              </w:rPr>
            </w:pPr>
          </w:p>
        </w:tc>
      </w:tr>
      <w:tr w:rsidR="003F1605" w:rsidRPr="00385F08" w14:paraId="127B4968" w14:textId="77777777" w:rsidTr="009E78BA">
        <w:tc>
          <w:tcPr>
            <w:tcW w:w="1005" w:type="pct"/>
            <w:vMerge/>
            <w:vAlign w:val="center"/>
          </w:tcPr>
          <w:p w14:paraId="31837B88" w14:textId="77777777" w:rsidR="001C1814" w:rsidRPr="00385F08" w:rsidRDefault="001C1814" w:rsidP="00D118F7">
            <w:pPr>
              <w:spacing w:after="0"/>
              <w:rPr>
                <w:rFonts w:asciiTheme="minorHAnsi" w:hAnsiTheme="minorHAnsi" w:cstheme="minorHAnsi"/>
                <w:b/>
                <w:sz w:val="22"/>
                <w:szCs w:val="22"/>
                <w:lang w:eastAsia="en-US"/>
              </w:rPr>
            </w:pPr>
          </w:p>
        </w:tc>
        <w:tc>
          <w:tcPr>
            <w:tcW w:w="1056" w:type="pct"/>
            <w:tcMar>
              <w:top w:w="120" w:type="dxa"/>
              <w:left w:w="120" w:type="dxa"/>
              <w:bottom w:w="120" w:type="dxa"/>
              <w:right w:w="120" w:type="dxa"/>
            </w:tcMar>
            <w:vAlign w:val="center"/>
          </w:tcPr>
          <w:p w14:paraId="1C26CC0D" w14:textId="77777777" w:rsidR="001C1814" w:rsidRPr="00385F08" w:rsidRDefault="001C1814" w:rsidP="00D118F7">
            <w:pPr>
              <w:spacing w:after="0"/>
              <w:rPr>
                <w:rFonts w:asciiTheme="minorHAnsi" w:hAnsiTheme="minorHAnsi" w:cstheme="minorHAnsi"/>
                <w:sz w:val="22"/>
                <w:szCs w:val="22"/>
              </w:rPr>
            </w:pPr>
            <w:r w:rsidRPr="00385F08">
              <w:rPr>
                <w:rFonts w:asciiTheme="minorHAnsi" w:hAnsiTheme="minorHAnsi" w:cstheme="minorHAnsi"/>
                <w:sz w:val="22"/>
                <w:szCs w:val="22"/>
              </w:rPr>
              <w:t>Vacant commercial land</w:t>
            </w:r>
          </w:p>
        </w:tc>
        <w:tc>
          <w:tcPr>
            <w:tcW w:w="994" w:type="pct"/>
            <w:vMerge/>
            <w:vAlign w:val="center"/>
          </w:tcPr>
          <w:p w14:paraId="4E4418C8" w14:textId="0A56F3C4" w:rsidR="001C1814" w:rsidRPr="00385F08" w:rsidRDefault="001C1814" w:rsidP="000C5E6D">
            <w:pPr>
              <w:spacing w:after="0"/>
              <w:rPr>
                <w:rFonts w:asciiTheme="minorHAnsi" w:hAnsiTheme="minorHAnsi" w:cstheme="minorHAnsi"/>
                <w:sz w:val="22"/>
                <w:szCs w:val="22"/>
              </w:rPr>
            </w:pPr>
          </w:p>
        </w:tc>
        <w:tc>
          <w:tcPr>
            <w:tcW w:w="1945" w:type="pct"/>
            <w:vMerge/>
            <w:tcMar>
              <w:top w:w="120" w:type="dxa"/>
              <w:left w:w="120" w:type="dxa"/>
              <w:bottom w:w="120" w:type="dxa"/>
              <w:right w:w="120" w:type="dxa"/>
            </w:tcMar>
            <w:vAlign w:val="center"/>
          </w:tcPr>
          <w:p w14:paraId="176ED8AE" w14:textId="4ED67D73" w:rsidR="001C1814" w:rsidRPr="00385F08" w:rsidRDefault="001C1814" w:rsidP="00D118F7">
            <w:pPr>
              <w:spacing w:after="0"/>
              <w:rPr>
                <w:rFonts w:asciiTheme="minorHAnsi" w:hAnsiTheme="minorHAnsi" w:cstheme="minorHAnsi"/>
                <w:sz w:val="22"/>
                <w:szCs w:val="22"/>
              </w:rPr>
            </w:pPr>
          </w:p>
        </w:tc>
      </w:tr>
      <w:tr w:rsidR="000C5E6D" w:rsidRPr="00385F08" w14:paraId="2F039A27" w14:textId="77777777" w:rsidTr="00154846">
        <w:tc>
          <w:tcPr>
            <w:tcW w:w="1005" w:type="pct"/>
            <w:vMerge w:val="restart"/>
            <w:tcMar>
              <w:top w:w="120" w:type="dxa"/>
              <w:left w:w="120" w:type="dxa"/>
              <w:bottom w:w="120" w:type="dxa"/>
              <w:right w:w="120" w:type="dxa"/>
            </w:tcMar>
            <w:vAlign w:val="center"/>
            <w:hideMark/>
          </w:tcPr>
          <w:p w14:paraId="1EBBC51E" w14:textId="77777777" w:rsidR="000C5E6D" w:rsidRPr="00385F08" w:rsidRDefault="000C5E6D" w:rsidP="00D118F7">
            <w:pPr>
              <w:spacing w:after="0"/>
              <w:rPr>
                <w:rFonts w:asciiTheme="minorHAnsi" w:hAnsiTheme="minorHAnsi" w:cstheme="minorHAnsi"/>
                <w:b/>
                <w:sz w:val="22"/>
                <w:szCs w:val="22"/>
              </w:rPr>
            </w:pPr>
            <w:r w:rsidRPr="00385F08">
              <w:rPr>
                <w:rFonts w:asciiTheme="minorHAnsi" w:hAnsiTheme="minorHAnsi" w:cstheme="minorHAnsi"/>
                <w:b/>
                <w:sz w:val="22"/>
                <w:szCs w:val="22"/>
              </w:rPr>
              <w:t>Private investors from certain FTA partners</w:t>
            </w:r>
            <w:r w:rsidRPr="00385F08">
              <w:rPr>
                <w:rStyle w:val="FootnoteReference"/>
                <w:rFonts w:asciiTheme="minorHAnsi" w:hAnsiTheme="minorHAnsi" w:cstheme="minorHAnsi"/>
                <w:b/>
                <w:sz w:val="22"/>
                <w:szCs w:val="22"/>
              </w:rPr>
              <w:footnoteReference w:id="5"/>
            </w:r>
          </w:p>
        </w:tc>
        <w:tc>
          <w:tcPr>
            <w:tcW w:w="1056" w:type="pct"/>
            <w:vMerge w:val="restart"/>
            <w:tcMar>
              <w:top w:w="120" w:type="dxa"/>
              <w:left w:w="120" w:type="dxa"/>
              <w:bottom w:w="120" w:type="dxa"/>
              <w:right w:w="120" w:type="dxa"/>
            </w:tcMar>
            <w:vAlign w:val="center"/>
            <w:hideMark/>
          </w:tcPr>
          <w:p w14:paraId="2485DB6E" w14:textId="77777777" w:rsidR="000C5E6D" w:rsidRPr="00385F08" w:rsidRDefault="000C5E6D" w:rsidP="00D118F7">
            <w:pPr>
              <w:spacing w:after="0"/>
              <w:rPr>
                <w:rFonts w:asciiTheme="minorHAnsi" w:hAnsiTheme="minorHAnsi" w:cstheme="minorHAnsi"/>
                <w:sz w:val="22"/>
                <w:szCs w:val="22"/>
              </w:rPr>
            </w:pPr>
            <w:r w:rsidRPr="00385F08">
              <w:rPr>
                <w:rFonts w:asciiTheme="minorHAnsi" w:hAnsiTheme="minorHAnsi" w:cstheme="minorHAnsi"/>
                <w:sz w:val="22"/>
                <w:szCs w:val="22"/>
              </w:rPr>
              <w:t>Agricultural land</w:t>
            </w:r>
          </w:p>
        </w:tc>
        <w:tc>
          <w:tcPr>
            <w:tcW w:w="994" w:type="pct"/>
            <w:vMerge w:val="restart"/>
            <w:vAlign w:val="center"/>
          </w:tcPr>
          <w:p w14:paraId="77116FE8" w14:textId="5446AE66" w:rsidR="000C5E6D" w:rsidRPr="00F311CF" w:rsidRDefault="00125E53" w:rsidP="000C5E6D">
            <w:pPr>
              <w:spacing w:after="0"/>
              <w:rPr>
                <w:rFonts w:asciiTheme="minorHAnsi" w:hAnsiTheme="minorHAnsi" w:cstheme="minorHAnsi"/>
                <w:sz w:val="22"/>
                <w:szCs w:val="22"/>
              </w:rPr>
            </w:pPr>
            <w:r>
              <w:rPr>
                <w:rFonts w:asciiTheme="minorHAnsi" w:hAnsiTheme="minorHAnsi" w:cstheme="minorHAnsi"/>
                <w:sz w:val="22"/>
                <w:szCs w:val="22"/>
              </w:rPr>
              <w:t>Any</w:t>
            </w:r>
            <w:r w:rsidR="00F16524" w:rsidRPr="00F16524">
              <w:rPr>
                <w:rFonts w:asciiTheme="minorHAnsi" w:hAnsiTheme="minorHAnsi" w:cstheme="minorHAnsi"/>
                <w:sz w:val="22"/>
                <w:szCs w:val="22"/>
                <w:vertAlign w:val="superscript"/>
              </w:rPr>
              <w:fldChar w:fldCharType="begin"/>
            </w:r>
            <w:r w:rsidR="00F16524" w:rsidRPr="00F16524">
              <w:rPr>
                <w:rFonts w:asciiTheme="minorHAnsi" w:hAnsiTheme="minorHAnsi" w:cstheme="minorHAnsi"/>
                <w:sz w:val="22"/>
                <w:szCs w:val="22"/>
                <w:vertAlign w:val="superscript"/>
              </w:rPr>
              <w:instrText xml:space="preserve"> NOTEREF _Ref194582551 \h </w:instrText>
            </w:r>
            <w:r w:rsidR="00F16524">
              <w:rPr>
                <w:rFonts w:asciiTheme="minorHAnsi" w:hAnsiTheme="minorHAnsi" w:cstheme="minorHAnsi"/>
                <w:sz w:val="22"/>
                <w:szCs w:val="22"/>
                <w:vertAlign w:val="superscript"/>
              </w:rPr>
              <w:instrText xml:space="preserve"> \* MERGEFORMAT </w:instrText>
            </w:r>
            <w:r w:rsidR="00F16524" w:rsidRPr="00F16524">
              <w:rPr>
                <w:rFonts w:asciiTheme="minorHAnsi" w:hAnsiTheme="minorHAnsi" w:cstheme="minorHAnsi"/>
                <w:sz w:val="22"/>
                <w:szCs w:val="22"/>
                <w:vertAlign w:val="superscript"/>
              </w:rPr>
            </w:r>
            <w:r w:rsidR="00F16524" w:rsidRPr="00F16524">
              <w:rPr>
                <w:rFonts w:asciiTheme="minorHAnsi" w:hAnsiTheme="minorHAnsi" w:cstheme="minorHAnsi"/>
                <w:sz w:val="22"/>
                <w:szCs w:val="22"/>
                <w:vertAlign w:val="superscript"/>
              </w:rPr>
              <w:fldChar w:fldCharType="separate"/>
            </w:r>
            <w:r w:rsidR="00683DBB">
              <w:rPr>
                <w:rFonts w:asciiTheme="minorHAnsi" w:hAnsiTheme="minorHAnsi" w:cstheme="minorHAnsi"/>
                <w:sz w:val="22"/>
                <w:szCs w:val="22"/>
                <w:vertAlign w:val="superscript"/>
              </w:rPr>
              <w:t>3</w:t>
            </w:r>
            <w:r w:rsidR="00F16524" w:rsidRPr="00F16524">
              <w:rPr>
                <w:rFonts w:asciiTheme="minorHAnsi" w:hAnsiTheme="minorHAnsi" w:cstheme="minorHAnsi"/>
                <w:sz w:val="22"/>
                <w:szCs w:val="22"/>
                <w:vertAlign w:val="superscript"/>
              </w:rPr>
              <w:fldChar w:fldCharType="end"/>
            </w:r>
          </w:p>
        </w:tc>
        <w:tc>
          <w:tcPr>
            <w:tcW w:w="1945" w:type="pct"/>
            <w:tcMar>
              <w:top w:w="120" w:type="dxa"/>
              <w:left w:w="120" w:type="dxa"/>
              <w:bottom w:w="120" w:type="dxa"/>
              <w:right w:w="120" w:type="dxa"/>
            </w:tcMar>
            <w:vAlign w:val="center"/>
            <w:hideMark/>
          </w:tcPr>
          <w:p w14:paraId="3E3FC209" w14:textId="674DEF65" w:rsidR="000C5E6D" w:rsidRPr="00385F08" w:rsidRDefault="000C5E6D" w:rsidP="00D118F7">
            <w:pPr>
              <w:spacing w:after="0"/>
              <w:rPr>
                <w:rFonts w:asciiTheme="minorHAnsi" w:hAnsiTheme="minorHAnsi" w:cstheme="minorHAnsi"/>
                <w:sz w:val="22"/>
                <w:szCs w:val="22"/>
              </w:rPr>
            </w:pPr>
            <w:r w:rsidRPr="00F311CF">
              <w:rPr>
                <w:rFonts w:asciiTheme="minorHAnsi" w:hAnsiTheme="minorHAnsi" w:cstheme="minorHAnsi"/>
                <w:sz w:val="22"/>
                <w:szCs w:val="22"/>
              </w:rPr>
              <w:t>For Chile, New Zealand, and the United States</w:t>
            </w:r>
            <w:r w:rsidR="00232BFF">
              <w:rPr>
                <w:rFonts w:asciiTheme="minorHAnsi" w:hAnsiTheme="minorHAnsi" w:cstheme="minorHAnsi"/>
                <w:sz w:val="22"/>
                <w:szCs w:val="22"/>
              </w:rPr>
              <w:t>—</w:t>
            </w:r>
            <w:r w:rsidR="000E3160">
              <w:rPr>
                <w:rFonts w:asciiTheme="minorHAnsi" w:hAnsiTheme="minorHAnsi" w:cstheme="minorHAnsi"/>
                <w:sz w:val="22"/>
                <w:szCs w:val="22"/>
              </w:rPr>
              <w:t xml:space="preserve">more than </w:t>
            </w:r>
            <w:r w:rsidRPr="00F311CF">
              <w:rPr>
                <w:rFonts w:asciiTheme="minorHAnsi" w:hAnsiTheme="minorHAnsi" w:cstheme="minorHAnsi"/>
                <w:sz w:val="22"/>
                <w:szCs w:val="22"/>
              </w:rPr>
              <w:t>$1,</w:t>
            </w:r>
            <w:r>
              <w:rPr>
                <w:rFonts w:asciiTheme="minorHAnsi" w:hAnsiTheme="minorHAnsi" w:cstheme="minorHAnsi"/>
                <w:sz w:val="22"/>
                <w:szCs w:val="22"/>
              </w:rPr>
              <w:t>4</w:t>
            </w:r>
            <w:r w:rsidR="006C0646">
              <w:rPr>
                <w:rFonts w:asciiTheme="minorHAnsi" w:hAnsiTheme="minorHAnsi" w:cstheme="minorHAnsi"/>
                <w:sz w:val="22"/>
                <w:szCs w:val="22"/>
              </w:rPr>
              <w:t>98</w:t>
            </w:r>
            <w:r w:rsidRPr="00385F08">
              <w:rPr>
                <w:rFonts w:asciiTheme="minorHAnsi" w:hAnsiTheme="minorHAnsi" w:cstheme="minorHAnsi"/>
                <w:sz w:val="22"/>
                <w:szCs w:val="22"/>
              </w:rPr>
              <w:t xml:space="preserve"> million</w:t>
            </w:r>
          </w:p>
        </w:tc>
      </w:tr>
      <w:tr w:rsidR="000C5E6D" w:rsidRPr="00385F08" w14:paraId="41860E34" w14:textId="77777777" w:rsidTr="00154846">
        <w:tc>
          <w:tcPr>
            <w:tcW w:w="1005" w:type="pct"/>
            <w:vMerge/>
            <w:vAlign w:val="center"/>
            <w:hideMark/>
          </w:tcPr>
          <w:p w14:paraId="383D9D90" w14:textId="77777777" w:rsidR="000C5E6D" w:rsidRPr="00385F08" w:rsidRDefault="000C5E6D" w:rsidP="00D118F7">
            <w:pPr>
              <w:spacing w:after="0"/>
              <w:rPr>
                <w:rFonts w:asciiTheme="minorHAnsi" w:hAnsiTheme="minorHAnsi" w:cstheme="minorHAnsi"/>
                <w:b/>
                <w:sz w:val="22"/>
                <w:szCs w:val="22"/>
                <w:lang w:eastAsia="en-US"/>
              </w:rPr>
            </w:pPr>
          </w:p>
        </w:tc>
        <w:tc>
          <w:tcPr>
            <w:tcW w:w="1056" w:type="pct"/>
            <w:vMerge/>
            <w:tcMar>
              <w:top w:w="120" w:type="dxa"/>
              <w:left w:w="120" w:type="dxa"/>
              <w:bottom w:w="120" w:type="dxa"/>
              <w:right w:w="120" w:type="dxa"/>
            </w:tcMar>
            <w:vAlign w:val="center"/>
          </w:tcPr>
          <w:p w14:paraId="2ED27D86" w14:textId="77777777" w:rsidR="000C5E6D" w:rsidRPr="00385F08" w:rsidRDefault="000C5E6D" w:rsidP="00D118F7">
            <w:pPr>
              <w:spacing w:after="0"/>
              <w:rPr>
                <w:rFonts w:asciiTheme="minorHAnsi" w:hAnsiTheme="minorHAnsi" w:cstheme="minorHAnsi"/>
                <w:sz w:val="22"/>
                <w:szCs w:val="22"/>
              </w:rPr>
            </w:pPr>
          </w:p>
        </w:tc>
        <w:tc>
          <w:tcPr>
            <w:tcW w:w="994" w:type="pct"/>
            <w:vMerge/>
            <w:vAlign w:val="center"/>
          </w:tcPr>
          <w:p w14:paraId="3FCFFACF" w14:textId="7164912E" w:rsidR="000C5E6D" w:rsidRPr="00385F08" w:rsidRDefault="000C5E6D" w:rsidP="000C5E6D">
            <w:pPr>
              <w:spacing w:after="0"/>
              <w:rPr>
                <w:rFonts w:asciiTheme="minorHAnsi" w:hAnsiTheme="minorHAnsi" w:cstheme="minorHAnsi"/>
                <w:sz w:val="22"/>
                <w:szCs w:val="22"/>
              </w:rPr>
            </w:pPr>
          </w:p>
        </w:tc>
        <w:tc>
          <w:tcPr>
            <w:tcW w:w="1945" w:type="pct"/>
            <w:tcMar>
              <w:top w:w="120" w:type="dxa"/>
              <w:left w:w="120" w:type="dxa"/>
              <w:bottom w:w="120" w:type="dxa"/>
              <w:right w:w="120" w:type="dxa"/>
            </w:tcMar>
            <w:vAlign w:val="center"/>
            <w:hideMark/>
          </w:tcPr>
          <w:p w14:paraId="5C2639D9" w14:textId="33E5E423" w:rsidR="000C5E6D" w:rsidRPr="00385F08" w:rsidRDefault="000C5E6D" w:rsidP="00D118F7">
            <w:pPr>
              <w:spacing w:after="0"/>
              <w:rPr>
                <w:rFonts w:asciiTheme="minorHAnsi" w:hAnsiTheme="minorHAnsi" w:cstheme="minorHAnsi"/>
                <w:sz w:val="22"/>
                <w:szCs w:val="22"/>
              </w:rPr>
            </w:pPr>
            <w:r w:rsidRPr="00385F08">
              <w:rPr>
                <w:rFonts w:asciiTheme="minorHAnsi" w:hAnsiTheme="minorHAnsi" w:cstheme="minorHAnsi"/>
                <w:sz w:val="22"/>
                <w:szCs w:val="22"/>
              </w:rPr>
              <w:t>Others</w:t>
            </w:r>
            <w:r w:rsidR="00232BFF">
              <w:rPr>
                <w:rFonts w:asciiTheme="minorHAnsi" w:hAnsiTheme="minorHAnsi" w:cstheme="minorHAnsi"/>
                <w:sz w:val="22"/>
                <w:szCs w:val="22"/>
              </w:rPr>
              <w:t>—</w:t>
            </w:r>
            <w:r w:rsidR="000E3160">
              <w:rPr>
                <w:rFonts w:asciiTheme="minorHAnsi" w:hAnsiTheme="minorHAnsi" w:cstheme="minorHAnsi"/>
                <w:sz w:val="22"/>
                <w:szCs w:val="22"/>
              </w:rPr>
              <w:t xml:space="preserve">more than </w:t>
            </w:r>
            <w:r w:rsidRPr="00385F08">
              <w:rPr>
                <w:rFonts w:asciiTheme="minorHAnsi" w:hAnsiTheme="minorHAnsi" w:cstheme="minorHAnsi"/>
                <w:sz w:val="22"/>
                <w:szCs w:val="22"/>
              </w:rPr>
              <w:t>$15 million (cumulative)</w:t>
            </w:r>
          </w:p>
        </w:tc>
      </w:tr>
      <w:tr w:rsidR="005E13DB" w:rsidRPr="00385F08" w14:paraId="18572830" w14:textId="77777777" w:rsidTr="00154846">
        <w:tc>
          <w:tcPr>
            <w:tcW w:w="1005" w:type="pct"/>
            <w:vMerge/>
            <w:vAlign w:val="center"/>
            <w:hideMark/>
          </w:tcPr>
          <w:p w14:paraId="4EDBA899" w14:textId="77777777" w:rsidR="005E13DB" w:rsidRPr="00385F08" w:rsidRDefault="005E13DB" w:rsidP="00D118F7">
            <w:pPr>
              <w:spacing w:after="0"/>
              <w:rPr>
                <w:rFonts w:asciiTheme="minorHAnsi" w:hAnsiTheme="minorHAnsi" w:cstheme="minorHAnsi"/>
                <w:b/>
                <w:sz w:val="22"/>
                <w:szCs w:val="22"/>
                <w:lang w:eastAsia="en-US"/>
              </w:rPr>
            </w:pPr>
          </w:p>
        </w:tc>
        <w:tc>
          <w:tcPr>
            <w:tcW w:w="1056" w:type="pct"/>
            <w:tcMar>
              <w:top w:w="120" w:type="dxa"/>
              <w:left w:w="120" w:type="dxa"/>
              <w:bottom w:w="120" w:type="dxa"/>
              <w:right w:w="120" w:type="dxa"/>
            </w:tcMar>
            <w:vAlign w:val="center"/>
            <w:hideMark/>
          </w:tcPr>
          <w:p w14:paraId="5BDFC8E7" w14:textId="77777777" w:rsidR="005E13DB" w:rsidRPr="00385F08" w:rsidRDefault="005E13DB" w:rsidP="00D118F7">
            <w:pPr>
              <w:spacing w:after="0"/>
              <w:rPr>
                <w:rFonts w:asciiTheme="minorHAnsi" w:hAnsiTheme="minorHAnsi" w:cstheme="minorHAnsi"/>
                <w:sz w:val="22"/>
                <w:szCs w:val="22"/>
              </w:rPr>
            </w:pPr>
            <w:r w:rsidRPr="00385F08">
              <w:rPr>
                <w:rFonts w:asciiTheme="minorHAnsi" w:hAnsiTheme="minorHAnsi" w:cstheme="minorHAnsi"/>
                <w:sz w:val="22"/>
                <w:szCs w:val="22"/>
              </w:rPr>
              <w:t>Developed commercial land</w:t>
            </w:r>
          </w:p>
        </w:tc>
        <w:tc>
          <w:tcPr>
            <w:tcW w:w="994" w:type="pct"/>
            <w:vAlign w:val="center"/>
          </w:tcPr>
          <w:p w14:paraId="2B17C5BC" w14:textId="4C6B263E" w:rsidR="005E13DB" w:rsidRPr="00385F08" w:rsidRDefault="005E13DB" w:rsidP="000C5E6D">
            <w:pPr>
              <w:spacing w:after="0"/>
              <w:rPr>
                <w:rFonts w:asciiTheme="minorHAnsi" w:hAnsiTheme="minorHAnsi" w:cstheme="minorHAnsi"/>
                <w:sz w:val="22"/>
                <w:szCs w:val="22"/>
              </w:rPr>
            </w:pPr>
            <w:r>
              <w:rPr>
                <w:rFonts w:asciiTheme="minorHAnsi" w:hAnsiTheme="minorHAnsi" w:cstheme="minorHAnsi"/>
                <w:sz w:val="22"/>
                <w:szCs w:val="22"/>
              </w:rPr>
              <w:t>Any</w:t>
            </w:r>
            <w:r w:rsidR="00F16524" w:rsidRPr="00B25E07">
              <w:rPr>
                <w:rFonts w:asciiTheme="minorHAnsi" w:hAnsiTheme="minorHAnsi" w:cstheme="minorHAnsi"/>
                <w:sz w:val="22"/>
                <w:szCs w:val="22"/>
                <w:vertAlign w:val="superscript"/>
              </w:rPr>
              <w:fldChar w:fldCharType="begin"/>
            </w:r>
            <w:r w:rsidR="00F16524" w:rsidRPr="00B25E07">
              <w:rPr>
                <w:rFonts w:asciiTheme="minorHAnsi" w:hAnsiTheme="minorHAnsi" w:cstheme="minorHAnsi"/>
                <w:sz w:val="22"/>
                <w:szCs w:val="22"/>
                <w:vertAlign w:val="superscript"/>
              </w:rPr>
              <w:instrText xml:space="preserve"> NOTEREF _Ref194582551 \h </w:instrText>
            </w:r>
            <w:r w:rsidR="00B25E07">
              <w:rPr>
                <w:rFonts w:asciiTheme="minorHAnsi" w:hAnsiTheme="minorHAnsi" w:cstheme="minorHAnsi"/>
                <w:sz w:val="22"/>
                <w:szCs w:val="22"/>
                <w:vertAlign w:val="superscript"/>
              </w:rPr>
              <w:instrText xml:space="preserve"> \* MERGEFORMAT </w:instrText>
            </w:r>
            <w:r w:rsidR="00F16524" w:rsidRPr="00B25E07">
              <w:rPr>
                <w:rFonts w:asciiTheme="minorHAnsi" w:hAnsiTheme="minorHAnsi" w:cstheme="minorHAnsi"/>
                <w:sz w:val="22"/>
                <w:szCs w:val="22"/>
                <w:vertAlign w:val="superscript"/>
              </w:rPr>
            </w:r>
            <w:r w:rsidR="00F16524" w:rsidRPr="00B25E07">
              <w:rPr>
                <w:rFonts w:asciiTheme="minorHAnsi" w:hAnsiTheme="minorHAnsi" w:cstheme="minorHAnsi"/>
                <w:sz w:val="22"/>
                <w:szCs w:val="22"/>
                <w:vertAlign w:val="superscript"/>
              </w:rPr>
              <w:fldChar w:fldCharType="separate"/>
            </w:r>
            <w:r w:rsidR="00683DBB">
              <w:rPr>
                <w:rFonts w:asciiTheme="minorHAnsi" w:hAnsiTheme="minorHAnsi" w:cstheme="minorHAnsi"/>
                <w:sz w:val="22"/>
                <w:szCs w:val="22"/>
                <w:vertAlign w:val="superscript"/>
              </w:rPr>
              <w:t>3</w:t>
            </w:r>
            <w:r w:rsidR="00F16524" w:rsidRPr="00B25E07">
              <w:rPr>
                <w:rFonts w:asciiTheme="minorHAnsi" w:hAnsiTheme="minorHAnsi" w:cstheme="minorHAnsi"/>
                <w:sz w:val="22"/>
                <w:szCs w:val="22"/>
                <w:vertAlign w:val="superscript"/>
              </w:rPr>
              <w:fldChar w:fldCharType="end"/>
            </w:r>
          </w:p>
        </w:tc>
        <w:tc>
          <w:tcPr>
            <w:tcW w:w="1945" w:type="pct"/>
            <w:tcMar>
              <w:top w:w="120" w:type="dxa"/>
              <w:left w:w="120" w:type="dxa"/>
              <w:bottom w:w="120" w:type="dxa"/>
              <w:right w:w="120" w:type="dxa"/>
            </w:tcMar>
            <w:vAlign w:val="center"/>
            <w:hideMark/>
          </w:tcPr>
          <w:p w14:paraId="332B1F29" w14:textId="156DE284" w:rsidR="005E13DB" w:rsidRPr="00385F08" w:rsidRDefault="00232BFF" w:rsidP="00D118F7">
            <w:pPr>
              <w:spacing w:after="0"/>
              <w:rPr>
                <w:rFonts w:asciiTheme="minorHAnsi" w:hAnsiTheme="minorHAnsi" w:cstheme="minorHAnsi"/>
                <w:sz w:val="22"/>
                <w:szCs w:val="22"/>
              </w:rPr>
            </w:pPr>
            <w:r>
              <w:rPr>
                <w:rFonts w:asciiTheme="minorHAnsi" w:hAnsiTheme="minorHAnsi" w:cstheme="minorHAnsi"/>
                <w:sz w:val="22"/>
                <w:szCs w:val="22"/>
              </w:rPr>
              <w:t xml:space="preserve">More than </w:t>
            </w:r>
            <w:r w:rsidR="005E13DB" w:rsidRPr="00385F08">
              <w:rPr>
                <w:rFonts w:asciiTheme="minorHAnsi" w:hAnsiTheme="minorHAnsi" w:cstheme="minorHAnsi"/>
                <w:sz w:val="22"/>
                <w:szCs w:val="22"/>
              </w:rPr>
              <w:t>$1,</w:t>
            </w:r>
            <w:r w:rsidR="005E13DB">
              <w:rPr>
                <w:rFonts w:asciiTheme="minorHAnsi" w:hAnsiTheme="minorHAnsi" w:cstheme="minorHAnsi"/>
                <w:sz w:val="22"/>
                <w:szCs w:val="22"/>
              </w:rPr>
              <w:t>4</w:t>
            </w:r>
            <w:r w:rsidR="006C0646">
              <w:rPr>
                <w:rFonts w:asciiTheme="minorHAnsi" w:hAnsiTheme="minorHAnsi" w:cstheme="minorHAnsi"/>
                <w:sz w:val="22"/>
                <w:szCs w:val="22"/>
              </w:rPr>
              <w:t>98</w:t>
            </w:r>
            <w:r w:rsidR="005E13DB" w:rsidRPr="00385F08">
              <w:rPr>
                <w:rFonts w:asciiTheme="minorHAnsi" w:hAnsiTheme="minorHAnsi" w:cstheme="minorHAnsi"/>
                <w:sz w:val="22"/>
                <w:szCs w:val="22"/>
              </w:rPr>
              <w:t xml:space="preserve"> million</w:t>
            </w:r>
            <w:r w:rsidR="005E13DB" w:rsidRPr="00385F08">
              <w:rPr>
                <w:rStyle w:val="FootnoteReference"/>
                <w:rFonts w:asciiTheme="minorHAnsi" w:hAnsiTheme="minorHAnsi"/>
                <w:sz w:val="22"/>
                <w:szCs w:val="22"/>
              </w:rPr>
              <w:footnoteReference w:id="6"/>
            </w:r>
          </w:p>
        </w:tc>
      </w:tr>
      <w:tr w:rsidR="000C5E6D" w:rsidRPr="00385F08" w14:paraId="7C44BC5A" w14:textId="77777777" w:rsidTr="00154846">
        <w:tc>
          <w:tcPr>
            <w:tcW w:w="1005" w:type="pct"/>
            <w:vMerge/>
            <w:vAlign w:val="center"/>
            <w:hideMark/>
          </w:tcPr>
          <w:p w14:paraId="62AD6711" w14:textId="77777777" w:rsidR="000C5E6D" w:rsidRPr="00385F08" w:rsidRDefault="000C5E6D" w:rsidP="00D118F7">
            <w:pPr>
              <w:spacing w:after="0"/>
              <w:rPr>
                <w:rFonts w:asciiTheme="minorHAnsi" w:hAnsiTheme="minorHAnsi" w:cstheme="minorHAnsi"/>
                <w:b/>
                <w:sz w:val="22"/>
                <w:szCs w:val="22"/>
                <w:lang w:eastAsia="en-US"/>
              </w:rPr>
            </w:pPr>
          </w:p>
        </w:tc>
        <w:tc>
          <w:tcPr>
            <w:tcW w:w="1056" w:type="pct"/>
            <w:vMerge w:val="restart"/>
            <w:tcMar>
              <w:top w:w="120" w:type="dxa"/>
              <w:left w:w="120" w:type="dxa"/>
              <w:bottom w:w="120" w:type="dxa"/>
              <w:right w:w="120" w:type="dxa"/>
            </w:tcMar>
            <w:vAlign w:val="center"/>
            <w:hideMark/>
          </w:tcPr>
          <w:p w14:paraId="3157E8C5" w14:textId="54E59D5C" w:rsidR="000C5E6D" w:rsidRPr="00385F08" w:rsidRDefault="000C5E6D" w:rsidP="00D118F7">
            <w:pPr>
              <w:spacing w:after="0"/>
              <w:rPr>
                <w:rFonts w:asciiTheme="minorHAnsi" w:hAnsiTheme="minorHAnsi" w:cstheme="minorHAnsi"/>
                <w:sz w:val="22"/>
                <w:szCs w:val="22"/>
              </w:rPr>
            </w:pPr>
            <w:r w:rsidRPr="00385F08">
              <w:rPr>
                <w:rFonts w:asciiTheme="minorHAnsi" w:hAnsiTheme="minorHAnsi" w:cstheme="minorHAnsi"/>
                <w:sz w:val="22"/>
                <w:szCs w:val="22"/>
              </w:rPr>
              <w:t xml:space="preserve">Mining </w:t>
            </w:r>
            <w:r w:rsidR="00587E06">
              <w:rPr>
                <w:rFonts w:asciiTheme="minorHAnsi" w:hAnsiTheme="minorHAnsi" w:cstheme="minorHAnsi"/>
                <w:sz w:val="22"/>
                <w:szCs w:val="22"/>
              </w:rPr>
              <w:t>or</w:t>
            </w:r>
            <w:r w:rsidR="00587E06" w:rsidRPr="00385F08">
              <w:rPr>
                <w:rFonts w:asciiTheme="minorHAnsi" w:hAnsiTheme="minorHAnsi" w:cstheme="minorHAnsi"/>
                <w:sz w:val="22"/>
                <w:szCs w:val="22"/>
              </w:rPr>
              <w:t xml:space="preserve"> </w:t>
            </w:r>
            <w:r w:rsidRPr="00385F08">
              <w:rPr>
                <w:rFonts w:asciiTheme="minorHAnsi" w:hAnsiTheme="minorHAnsi" w:cstheme="minorHAnsi"/>
                <w:sz w:val="22"/>
                <w:szCs w:val="22"/>
              </w:rPr>
              <w:t>production tenements</w:t>
            </w:r>
          </w:p>
        </w:tc>
        <w:tc>
          <w:tcPr>
            <w:tcW w:w="994" w:type="pct"/>
            <w:vMerge w:val="restart"/>
            <w:vAlign w:val="center"/>
          </w:tcPr>
          <w:p w14:paraId="6A8B0752" w14:textId="33364E3B" w:rsidR="000C5E6D" w:rsidRPr="00F311CF" w:rsidRDefault="000C5E6D" w:rsidP="000C5E6D">
            <w:pPr>
              <w:spacing w:after="0"/>
              <w:rPr>
                <w:rFonts w:asciiTheme="minorHAnsi" w:hAnsiTheme="minorHAnsi" w:cstheme="minorHAnsi"/>
                <w:sz w:val="22"/>
                <w:szCs w:val="22"/>
              </w:rPr>
            </w:pPr>
            <w:r>
              <w:rPr>
                <w:rFonts w:asciiTheme="minorHAnsi" w:hAnsiTheme="minorHAnsi" w:cstheme="minorHAnsi"/>
                <w:sz w:val="22"/>
                <w:szCs w:val="22"/>
              </w:rPr>
              <w:t>Any</w:t>
            </w:r>
            <w:r w:rsidR="00F16524" w:rsidRPr="00B25E07">
              <w:rPr>
                <w:rFonts w:asciiTheme="minorHAnsi" w:hAnsiTheme="minorHAnsi" w:cstheme="minorHAnsi"/>
                <w:sz w:val="22"/>
                <w:szCs w:val="22"/>
                <w:vertAlign w:val="superscript"/>
              </w:rPr>
              <w:fldChar w:fldCharType="begin"/>
            </w:r>
            <w:r w:rsidR="00F16524" w:rsidRPr="00B25E07">
              <w:rPr>
                <w:rFonts w:asciiTheme="minorHAnsi" w:hAnsiTheme="minorHAnsi" w:cstheme="minorHAnsi"/>
                <w:sz w:val="22"/>
                <w:szCs w:val="22"/>
                <w:vertAlign w:val="superscript"/>
              </w:rPr>
              <w:instrText xml:space="preserve"> NOTEREF _Ref194582551 \h </w:instrText>
            </w:r>
            <w:r w:rsidR="00B25E07">
              <w:rPr>
                <w:rFonts w:asciiTheme="minorHAnsi" w:hAnsiTheme="minorHAnsi" w:cstheme="minorHAnsi"/>
                <w:sz w:val="22"/>
                <w:szCs w:val="22"/>
                <w:vertAlign w:val="superscript"/>
              </w:rPr>
              <w:instrText xml:space="preserve"> \* MERGEFORMAT </w:instrText>
            </w:r>
            <w:r w:rsidR="00F16524" w:rsidRPr="00B25E07">
              <w:rPr>
                <w:rFonts w:asciiTheme="minorHAnsi" w:hAnsiTheme="minorHAnsi" w:cstheme="minorHAnsi"/>
                <w:sz w:val="22"/>
                <w:szCs w:val="22"/>
                <w:vertAlign w:val="superscript"/>
              </w:rPr>
            </w:r>
            <w:r w:rsidR="00F16524" w:rsidRPr="00B25E07">
              <w:rPr>
                <w:rFonts w:asciiTheme="minorHAnsi" w:hAnsiTheme="minorHAnsi" w:cstheme="minorHAnsi"/>
                <w:sz w:val="22"/>
                <w:szCs w:val="22"/>
                <w:vertAlign w:val="superscript"/>
              </w:rPr>
              <w:fldChar w:fldCharType="separate"/>
            </w:r>
            <w:r w:rsidR="00683DBB">
              <w:rPr>
                <w:rFonts w:asciiTheme="minorHAnsi" w:hAnsiTheme="minorHAnsi" w:cstheme="minorHAnsi"/>
                <w:sz w:val="22"/>
                <w:szCs w:val="22"/>
                <w:vertAlign w:val="superscript"/>
              </w:rPr>
              <w:t>3</w:t>
            </w:r>
            <w:r w:rsidR="00F16524" w:rsidRPr="00B25E07">
              <w:rPr>
                <w:rFonts w:asciiTheme="minorHAnsi" w:hAnsiTheme="minorHAnsi" w:cstheme="minorHAnsi"/>
                <w:sz w:val="22"/>
                <w:szCs w:val="22"/>
                <w:vertAlign w:val="superscript"/>
              </w:rPr>
              <w:fldChar w:fldCharType="end"/>
            </w:r>
          </w:p>
        </w:tc>
        <w:tc>
          <w:tcPr>
            <w:tcW w:w="1945" w:type="pct"/>
            <w:tcMar>
              <w:top w:w="120" w:type="dxa"/>
              <w:left w:w="120" w:type="dxa"/>
              <w:bottom w:w="120" w:type="dxa"/>
              <w:right w:w="120" w:type="dxa"/>
            </w:tcMar>
            <w:vAlign w:val="center"/>
            <w:hideMark/>
          </w:tcPr>
          <w:p w14:paraId="14898F22" w14:textId="39524A90" w:rsidR="000C5E6D" w:rsidRPr="00385F08" w:rsidRDefault="000C5E6D" w:rsidP="00D118F7">
            <w:pPr>
              <w:spacing w:after="0"/>
              <w:rPr>
                <w:rFonts w:asciiTheme="minorHAnsi" w:hAnsiTheme="minorHAnsi" w:cstheme="minorHAnsi"/>
                <w:sz w:val="22"/>
                <w:szCs w:val="22"/>
              </w:rPr>
            </w:pPr>
            <w:r w:rsidRPr="00F311CF">
              <w:rPr>
                <w:rFonts w:asciiTheme="minorHAnsi" w:hAnsiTheme="minorHAnsi" w:cstheme="minorHAnsi"/>
                <w:sz w:val="22"/>
                <w:szCs w:val="22"/>
              </w:rPr>
              <w:t xml:space="preserve">For Chile, New Zealand, </w:t>
            </w:r>
            <w:r w:rsidR="00AC1C05">
              <w:rPr>
                <w:rFonts w:asciiTheme="minorHAnsi" w:hAnsiTheme="minorHAnsi" w:cstheme="minorHAnsi"/>
                <w:sz w:val="22"/>
                <w:szCs w:val="22"/>
              </w:rPr>
              <w:t xml:space="preserve">Peru, </w:t>
            </w:r>
            <w:r w:rsidRPr="00F311CF">
              <w:rPr>
                <w:rFonts w:asciiTheme="minorHAnsi" w:hAnsiTheme="minorHAnsi" w:cstheme="minorHAnsi"/>
                <w:sz w:val="22"/>
                <w:szCs w:val="22"/>
              </w:rPr>
              <w:t>and the United States</w:t>
            </w:r>
            <w:r w:rsidR="00232BFF">
              <w:rPr>
                <w:rFonts w:asciiTheme="minorHAnsi" w:hAnsiTheme="minorHAnsi" w:cstheme="minorHAnsi"/>
                <w:sz w:val="22"/>
                <w:szCs w:val="22"/>
              </w:rPr>
              <w:t xml:space="preserve">—more than </w:t>
            </w:r>
            <w:r w:rsidRPr="00F311CF">
              <w:rPr>
                <w:rFonts w:asciiTheme="minorHAnsi" w:hAnsiTheme="minorHAnsi" w:cstheme="minorHAnsi"/>
                <w:sz w:val="22"/>
                <w:szCs w:val="22"/>
              </w:rPr>
              <w:t>$1,</w:t>
            </w:r>
            <w:r>
              <w:rPr>
                <w:rFonts w:asciiTheme="minorHAnsi" w:hAnsiTheme="minorHAnsi" w:cstheme="minorHAnsi"/>
                <w:sz w:val="22"/>
                <w:szCs w:val="22"/>
              </w:rPr>
              <w:t>4</w:t>
            </w:r>
            <w:r w:rsidR="00303BA4">
              <w:rPr>
                <w:rFonts w:asciiTheme="minorHAnsi" w:hAnsiTheme="minorHAnsi" w:cstheme="minorHAnsi"/>
                <w:sz w:val="22"/>
                <w:szCs w:val="22"/>
              </w:rPr>
              <w:t>98</w:t>
            </w:r>
            <w:r w:rsidRPr="00385F08">
              <w:rPr>
                <w:rFonts w:asciiTheme="minorHAnsi" w:hAnsiTheme="minorHAnsi" w:cstheme="minorHAnsi"/>
                <w:sz w:val="22"/>
                <w:szCs w:val="22"/>
              </w:rPr>
              <w:t xml:space="preserve"> million</w:t>
            </w:r>
          </w:p>
        </w:tc>
      </w:tr>
      <w:tr w:rsidR="00AC1C05" w:rsidRPr="00385F08" w14:paraId="4B236CC1" w14:textId="77777777" w:rsidTr="009E78BA">
        <w:tc>
          <w:tcPr>
            <w:tcW w:w="1005" w:type="pct"/>
            <w:vMerge/>
            <w:vAlign w:val="center"/>
          </w:tcPr>
          <w:p w14:paraId="650E2EFC" w14:textId="77777777" w:rsidR="00AC1C05" w:rsidRPr="00385F08" w:rsidRDefault="00AC1C05" w:rsidP="00D118F7">
            <w:pPr>
              <w:spacing w:after="0"/>
              <w:rPr>
                <w:rFonts w:asciiTheme="minorHAnsi" w:hAnsiTheme="minorHAnsi" w:cstheme="minorHAnsi"/>
                <w:b/>
                <w:sz w:val="22"/>
                <w:szCs w:val="22"/>
                <w:lang w:eastAsia="en-US"/>
              </w:rPr>
            </w:pPr>
          </w:p>
        </w:tc>
        <w:tc>
          <w:tcPr>
            <w:tcW w:w="1056" w:type="pct"/>
            <w:vMerge/>
            <w:tcMar>
              <w:top w:w="120" w:type="dxa"/>
              <w:left w:w="120" w:type="dxa"/>
              <w:bottom w:w="120" w:type="dxa"/>
              <w:right w:w="120" w:type="dxa"/>
            </w:tcMar>
            <w:vAlign w:val="center"/>
          </w:tcPr>
          <w:p w14:paraId="6C2D624B" w14:textId="77777777" w:rsidR="00AC1C05" w:rsidRDefault="00AC1C05" w:rsidP="00D118F7">
            <w:pPr>
              <w:spacing w:after="0"/>
              <w:rPr>
                <w:rFonts w:asciiTheme="minorHAnsi" w:hAnsiTheme="minorHAnsi" w:cstheme="minorHAnsi"/>
                <w:sz w:val="22"/>
                <w:szCs w:val="22"/>
              </w:rPr>
            </w:pPr>
          </w:p>
        </w:tc>
        <w:tc>
          <w:tcPr>
            <w:tcW w:w="994" w:type="pct"/>
            <w:vMerge/>
            <w:vAlign w:val="center"/>
          </w:tcPr>
          <w:p w14:paraId="2420D4E7" w14:textId="77777777" w:rsidR="00AC1C05" w:rsidRDefault="00AC1C05" w:rsidP="000C5E6D">
            <w:pPr>
              <w:spacing w:after="0"/>
              <w:rPr>
                <w:rFonts w:asciiTheme="minorHAnsi" w:hAnsiTheme="minorHAnsi" w:cstheme="minorHAnsi"/>
                <w:sz w:val="22"/>
                <w:szCs w:val="22"/>
              </w:rPr>
            </w:pPr>
          </w:p>
        </w:tc>
        <w:tc>
          <w:tcPr>
            <w:tcW w:w="1945" w:type="pct"/>
            <w:tcMar>
              <w:top w:w="120" w:type="dxa"/>
              <w:left w:w="120" w:type="dxa"/>
              <w:bottom w:w="120" w:type="dxa"/>
              <w:right w:w="120" w:type="dxa"/>
            </w:tcMar>
            <w:vAlign w:val="center"/>
          </w:tcPr>
          <w:p w14:paraId="1A946CEC" w14:textId="247EB0E5" w:rsidR="00AC1C05" w:rsidRPr="00F311CF" w:rsidRDefault="00AC1C05" w:rsidP="00D118F7">
            <w:pPr>
              <w:spacing w:after="0"/>
              <w:rPr>
                <w:rFonts w:asciiTheme="minorHAnsi" w:hAnsiTheme="minorHAnsi" w:cstheme="minorHAnsi"/>
                <w:sz w:val="22"/>
                <w:szCs w:val="22"/>
              </w:rPr>
            </w:pPr>
            <w:r>
              <w:rPr>
                <w:rFonts w:asciiTheme="minorHAnsi" w:hAnsiTheme="minorHAnsi" w:cstheme="minorHAnsi"/>
                <w:sz w:val="22"/>
                <w:szCs w:val="22"/>
              </w:rPr>
              <w:t>For Hong Kong, $7</w:t>
            </w:r>
            <w:r w:rsidR="00303BA4">
              <w:rPr>
                <w:rFonts w:asciiTheme="minorHAnsi" w:hAnsiTheme="minorHAnsi" w:cstheme="minorHAnsi"/>
                <w:sz w:val="22"/>
                <w:szCs w:val="22"/>
              </w:rPr>
              <w:t>5</w:t>
            </w:r>
            <w:r>
              <w:rPr>
                <w:rFonts w:asciiTheme="minorHAnsi" w:hAnsiTheme="minorHAnsi" w:cstheme="minorHAnsi"/>
                <w:sz w:val="22"/>
                <w:szCs w:val="22"/>
              </w:rPr>
              <w:t xml:space="preserve"> million</w:t>
            </w:r>
          </w:p>
        </w:tc>
      </w:tr>
      <w:tr w:rsidR="000C5E6D" w:rsidRPr="00385F08" w14:paraId="7548EC6F" w14:textId="77777777" w:rsidTr="00154846">
        <w:tc>
          <w:tcPr>
            <w:tcW w:w="1005" w:type="pct"/>
            <w:vMerge/>
            <w:vAlign w:val="center"/>
            <w:hideMark/>
          </w:tcPr>
          <w:p w14:paraId="73FAC0F4" w14:textId="77777777" w:rsidR="000C5E6D" w:rsidRPr="00385F08" w:rsidRDefault="000C5E6D" w:rsidP="00D118F7">
            <w:pPr>
              <w:spacing w:after="0"/>
              <w:rPr>
                <w:rFonts w:asciiTheme="minorHAnsi" w:hAnsiTheme="minorHAnsi" w:cstheme="minorHAnsi"/>
                <w:b/>
                <w:sz w:val="22"/>
                <w:szCs w:val="22"/>
                <w:lang w:eastAsia="en-US"/>
              </w:rPr>
            </w:pPr>
          </w:p>
        </w:tc>
        <w:tc>
          <w:tcPr>
            <w:tcW w:w="1056" w:type="pct"/>
            <w:vMerge/>
            <w:vAlign w:val="center"/>
            <w:hideMark/>
          </w:tcPr>
          <w:p w14:paraId="75C93F02" w14:textId="77777777" w:rsidR="000C5E6D" w:rsidRPr="00385F08" w:rsidRDefault="000C5E6D" w:rsidP="00D118F7">
            <w:pPr>
              <w:spacing w:after="0"/>
              <w:rPr>
                <w:rFonts w:asciiTheme="minorHAnsi" w:hAnsiTheme="minorHAnsi" w:cstheme="minorHAnsi"/>
                <w:sz w:val="22"/>
                <w:szCs w:val="22"/>
                <w:lang w:eastAsia="en-US"/>
              </w:rPr>
            </w:pPr>
          </w:p>
        </w:tc>
        <w:tc>
          <w:tcPr>
            <w:tcW w:w="994" w:type="pct"/>
            <w:vMerge/>
            <w:vAlign w:val="center"/>
          </w:tcPr>
          <w:p w14:paraId="33E5DB7D" w14:textId="248545C1" w:rsidR="000C5E6D" w:rsidRPr="00385F08" w:rsidRDefault="000C5E6D" w:rsidP="000C5E6D">
            <w:pPr>
              <w:spacing w:after="0"/>
              <w:rPr>
                <w:rFonts w:asciiTheme="minorHAnsi" w:hAnsiTheme="minorHAnsi" w:cstheme="minorHAnsi"/>
                <w:sz w:val="22"/>
                <w:szCs w:val="22"/>
              </w:rPr>
            </w:pPr>
          </w:p>
        </w:tc>
        <w:tc>
          <w:tcPr>
            <w:tcW w:w="1945" w:type="pct"/>
            <w:tcMar>
              <w:top w:w="120" w:type="dxa"/>
              <w:left w:w="120" w:type="dxa"/>
              <w:bottom w:w="120" w:type="dxa"/>
              <w:right w:w="120" w:type="dxa"/>
            </w:tcMar>
            <w:vAlign w:val="center"/>
            <w:hideMark/>
          </w:tcPr>
          <w:p w14:paraId="44831EFF" w14:textId="6B81E90B" w:rsidR="000C5E6D" w:rsidRPr="00385F08" w:rsidRDefault="000C5E6D" w:rsidP="00D118F7">
            <w:pPr>
              <w:spacing w:after="0"/>
              <w:rPr>
                <w:rFonts w:asciiTheme="minorHAnsi" w:hAnsiTheme="minorHAnsi" w:cstheme="minorHAnsi"/>
                <w:sz w:val="22"/>
                <w:szCs w:val="22"/>
              </w:rPr>
            </w:pPr>
            <w:r w:rsidRPr="00385F08">
              <w:rPr>
                <w:rFonts w:asciiTheme="minorHAnsi" w:hAnsiTheme="minorHAnsi" w:cstheme="minorHAnsi"/>
                <w:sz w:val="22"/>
                <w:szCs w:val="22"/>
              </w:rPr>
              <w:t>Others</w:t>
            </w:r>
            <w:r w:rsidR="00DD7AC6">
              <w:rPr>
                <w:rFonts w:asciiTheme="minorHAnsi" w:hAnsiTheme="minorHAnsi" w:cstheme="minorHAnsi"/>
                <w:sz w:val="22"/>
                <w:szCs w:val="22"/>
              </w:rPr>
              <w:t xml:space="preserve">, </w:t>
            </w:r>
            <w:r w:rsidRPr="00385F08">
              <w:rPr>
                <w:rFonts w:asciiTheme="minorHAnsi" w:hAnsiTheme="minorHAnsi" w:cstheme="minorHAnsi"/>
                <w:sz w:val="22"/>
                <w:szCs w:val="22"/>
              </w:rPr>
              <w:t>$0</w:t>
            </w:r>
            <w:r w:rsidR="00E55FB3">
              <w:rPr>
                <w:rFonts w:asciiTheme="minorHAnsi" w:hAnsiTheme="minorHAnsi" w:cstheme="minorHAnsi"/>
                <w:sz w:val="22"/>
                <w:szCs w:val="22"/>
              </w:rPr>
              <w:t xml:space="preserve"> or more</w:t>
            </w:r>
          </w:p>
        </w:tc>
      </w:tr>
      <w:tr w:rsidR="000C5E6D" w:rsidRPr="00385F08" w14:paraId="401FE2DB" w14:textId="77777777" w:rsidTr="00154846">
        <w:tc>
          <w:tcPr>
            <w:tcW w:w="1005" w:type="pct"/>
            <w:vMerge w:val="restart"/>
            <w:tcMar>
              <w:top w:w="120" w:type="dxa"/>
              <w:left w:w="120" w:type="dxa"/>
              <w:bottom w:w="120" w:type="dxa"/>
              <w:right w:w="120" w:type="dxa"/>
            </w:tcMar>
            <w:vAlign w:val="center"/>
            <w:hideMark/>
          </w:tcPr>
          <w:p w14:paraId="09A34953" w14:textId="0A188600" w:rsidR="000C5E6D" w:rsidRPr="00385F08" w:rsidRDefault="000C5E6D" w:rsidP="001241B7">
            <w:pPr>
              <w:spacing w:after="0"/>
              <w:rPr>
                <w:rFonts w:asciiTheme="minorHAnsi" w:hAnsiTheme="minorHAnsi" w:cstheme="minorHAnsi"/>
                <w:b/>
                <w:sz w:val="22"/>
                <w:szCs w:val="22"/>
              </w:rPr>
            </w:pPr>
            <w:r w:rsidRPr="00385F08">
              <w:rPr>
                <w:rFonts w:asciiTheme="minorHAnsi" w:hAnsiTheme="minorHAnsi" w:cstheme="minorHAnsi"/>
                <w:b/>
                <w:sz w:val="22"/>
                <w:szCs w:val="22"/>
              </w:rPr>
              <w:t>Private investors not from certain FTA partner</w:t>
            </w:r>
            <w:r w:rsidR="00142E87">
              <w:rPr>
                <w:rFonts w:asciiTheme="minorHAnsi" w:hAnsiTheme="minorHAnsi" w:cstheme="minorHAnsi"/>
                <w:b/>
                <w:sz w:val="22"/>
                <w:szCs w:val="22"/>
              </w:rPr>
              <w:t>s</w:t>
            </w:r>
          </w:p>
        </w:tc>
        <w:tc>
          <w:tcPr>
            <w:tcW w:w="1056" w:type="pct"/>
            <w:vMerge w:val="restart"/>
            <w:tcMar>
              <w:top w:w="120" w:type="dxa"/>
              <w:left w:w="120" w:type="dxa"/>
              <w:bottom w:w="120" w:type="dxa"/>
              <w:right w:w="120" w:type="dxa"/>
            </w:tcMar>
            <w:vAlign w:val="center"/>
            <w:hideMark/>
          </w:tcPr>
          <w:p w14:paraId="5840B750" w14:textId="77777777" w:rsidR="000C5E6D" w:rsidRPr="00385F08" w:rsidRDefault="000C5E6D" w:rsidP="001241B7">
            <w:pPr>
              <w:spacing w:after="0"/>
              <w:rPr>
                <w:rFonts w:asciiTheme="minorHAnsi" w:hAnsiTheme="minorHAnsi" w:cstheme="minorHAnsi"/>
                <w:sz w:val="22"/>
                <w:szCs w:val="22"/>
              </w:rPr>
            </w:pPr>
            <w:r w:rsidRPr="00385F08">
              <w:rPr>
                <w:rFonts w:asciiTheme="minorHAnsi" w:hAnsiTheme="minorHAnsi" w:cstheme="minorHAnsi"/>
                <w:sz w:val="22"/>
                <w:szCs w:val="22"/>
              </w:rPr>
              <w:t>Agricultural land</w:t>
            </w:r>
          </w:p>
        </w:tc>
        <w:tc>
          <w:tcPr>
            <w:tcW w:w="994" w:type="pct"/>
            <w:vMerge w:val="restart"/>
            <w:vAlign w:val="center"/>
          </w:tcPr>
          <w:p w14:paraId="79BC209D" w14:textId="27CE6D3E" w:rsidR="000C5E6D" w:rsidRPr="00385F08" w:rsidRDefault="000C5E6D" w:rsidP="000C5E6D">
            <w:pPr>
              <w:spacing w:after="0"/>
              <w:rPr>
                <w:rFonts w:asciiTheme="minorHAnsi" w:hAnsiTheme="minorHAnsi" w:cstheme="minorHAnsi"/>
                <w:sz w:val="22"/>
                <w:szCs w:val="22"/>
              </w:rPr>
            </w:pPr>
            <w:r w:rsidRPr="00854C7B">
              <w:rPr>
                <w:rFonts w:asciiTheme="minorHAnsi" w:hAnsiTheme="minorHAnsi" w:cstheme="minorHAnsi"/>
                <w:sz w:val="22"/>
                <w:szCs w:val="22"/>
              </w:rPr>
              <w:t>Any</w:t>
            </w:r>
            <w:r w:rsidR="00F16524" w:rsidRPr="00B25E07">
              <w:rPr>
                <w:rFonts w:asciiTheme="minorHAnsi" w:hAnsiTheme="minorHAnsi" w:cstheme="minorHAnsi"/>
                <w:sz w:val="22"/>
                <w:szCs w:val="22"/>
                <w:vertAlign w:val="superscript"/>
              </w:rPr>
              <w:fldChar w:fldCharType="begin"/>
            </w:r>
            <w:r w:rsidR="00F16524" w:rsidRPr="00B25E07">
              <w:rPr>
                <w:rFonts w:asciiTheme="minorHAnsi" w:hAnsiTheme="minorHAnsi" w:cstheme="minorHAnsi"/>
                <w:sz w:val="22"/>
                <w:szCs w:val="22"/>
                <w:vertAlign w:val="superscript"/>
              </w:rPr>
              <w:instrText xml:space="preserve"> NOTEREF _Ref194582551 \h </w:instrText>
            </w:r>
            <w:r w:rsidR="00B25E07">
              <w:rPr>
                <w:rFonts w:asciiTheme="minorHAnsi" w:hAnsiTheme="minorHAnsi" w:cstheme="minorHAnsi"/>
                <w:sz w:val="22"/>
                <w:szCs w:val="22"/>
                <w:vertAlign w:val="superscript"/>
              </w:rPr>
              <w:instrText xml:space="preserve"> \* MERGEFORMAT </w:instrText>
            </w:r>
            <w:r w:rsidR="00F16524" w:rsidRPr="00B25E07">
              <w:rPr>
                <w:rFonts w:asciiTheme="minorHAnsi" w:hAnsiTheme="minorHAnsi" w:cstheme="minorHAnsi"/>
                <w:sz w:val="22"/>
                <w:szCs w:val="22"/>
                <w:vertAlign w:val="superscript"/>
              </w:rPr>
            </w:r>
            <w:r w:rsidR="00F16524" w:rsidRPr="00B25E07">
              <w:rPr>
                <w:rFonts w:asciiTheme="minorHAnsi" w:hAnsiTheme="minorHAnsi" w:cstheme="minorHAnsi"/>
                <w:sz w:val="22"/>
                <w:szCs w:val="22"/>
                <w:vertAlign w:val="superscript"/>
              </w:rPr>
              <w:fldChar w:fldCharType="separate"/>
            </w:r>
            <w:r w:rsidR="00683DBB">
              <w:rPr>
                <w:rFonts w:asciiTheme="minorHAnsi" w:hAnsiTheme="minorHAnsi" w:cstheme="minorHAnsi"/>
                <w:sz w:val="22"/>
                <w:szCs w:val="22"/>
                <w:vertAlign w:val="superscript"/>
              </w:rPr>
              <w:t>3</w:t>
            </w:r>
            <w:r w:rsidR="00F16524" w:rsidRPr="00B25E07">
              <w:rPr>
                <w:rFonts w:asciiTheme="minorHAnsi" w:hAnsiTheme="minorHAnsi" w:cstheme="minorHAnsi"/>
                <w:sz w:val="22"/>
                <w:szCs w:val="22"/>
                <w:vertAlign w:val="superscript"/>
              </w:rPr>
              <w:fldChar w:fldCharType="end"/>
            </w:r>
          </w:p>
        </w:tc>
        <w:tc>
          <w:tcPr>
            <w:tcW w:w="1945" w:type="pct"/>
            <w:tcMar>
              <w:top w:w="120" w:type="dxa"/>
              <w:left w:w="120" w:type="dxa"/>
              <w:bottom w:w="120" w:type="dxa"/>
              <w:right w:w="120" w:type="dxa"/>
            </w:tcMar>
            <w:vAlign w:val="center"/>
            <w:hideMark/>
          </w:tcPr>
          <w:p w14:paraId="45C560D0" w14:textId="69D964C5" w:rsidR="000C5E6D" w:rsidRPr="00385F08" w:rsidRDefault="000C5E6D" w:rsidP="001241B7">
            <w:pPr>
              <w:spacing w:after="0"/>
              <w:rPr>
                <w:rFonts w:asciiTheme="minorHAnsi" w:hAnsiTheme="minorHAnsi" w:cstheme="minorHAnsi"/>
                <w:sz w:val="22"/>
                <w:szCs w:val="22"/>
              </w:rPr>
            </w:pPr>
            <w:r w:rsidRPr="00385F08">
              <w:rPr>
                <w:rFonts w:asciiTheme="minorHAnsi" w:hAnsiTheme="minorHAnsi" w:cstheme="minorHAnsi"/>
                <w:sz w:val="22"/>
                <w:szCs w:val="22"/>
              </w:rPr>
              <w:t>For Thailand</w:t>
            </w:r>
            <w:r w:rsidR="00441EEF">
              <w:rPr>
                <w:rFonts w:asciiTheme="minorHAnsi" w:hAnsiTheme="minorHAnsi" w:cstheme="minorHAnsi"/>
                <w:sz w:val="22"/>
                <w:szCs w:val="22"/>
              </w:rPr>
              <w:t xml:space="preserve">—more than </w:t>
            </w:r>
            <w:r w:rsidRPr="00385F08">
              <w:rPr>
                <w:rFonts w:asciiTheme="minorHAnsi" w:hAnsiTheme="minorHAnsi" w:cstheme="minorHAnsi"/>
                <w:sz w:val="22"/>
                <w:szCs w:val="22"/>
              </w:rPr>
              <w:t>$50 million</w:t>
            </w:r>
          </w:p>
        </w:tc>
      </w:tr>
      <w:tr w:rsidR="000C5E6D" w:rsidRPr="00385F08" w14:paraId="76AE6E3D" w14:textId="77777777" w:rsidTr="00154846">
        <w:tc>
          <w:tcPr>
            <w:tcW w:w="1005" w:type="pct"/>
            <w:vMerge/>
            <w:vAlign w:val="center"/>
            <w:hideMark/>
          </w:tcPr>
          <w:p w14:paraId="224EB67D" w14:textId="77777777" w:rsidR="000C5E6D" w:rsidRPr="00385F08" w:rsidRDefault="000C5E6D" w:rsidP="001241B7">
            <w:pPr>
              <w:spacing w:after="0"/>
              <w:rPr>
                <w:rFonts w:asciiTheme="minorHAnsi" w:hAnsiTheme="minorHAnsi" w:cstheme="minorHAnsi"/>
                <w:b/>
                <w:sz w:val="22"/>
                <w:szCs w:val="22"/>
                <w:lang w:eastAsia="en-US"/>
              </w:rPr>
            </w:pPr>
          </w:p>
        </w:tc>
        <w:tc>
          <w:tcPr>
            <w:tcW w:w="1056" w:type="pct"/>
            <w:vMerge/>
            <w:vAlign w:val="center"/>
            <w:hideMark/>
          </w:tcPr>
          <w:p w14:paraId="40BBA576" w14:textId="77777777" w:rsidR="000C5E6D" w:rsidRPr="00385F08" w:rsidRDefault="000C5E6D" w:rsidP="001241B7">
            <w:pPr>
              <w:spacing w:after="0"/>
              <w:rPr>
                <w:rFonts w:asciiTheme="minorHAnsi" w:hAnsiTheme="minorHAnsi" w:cstheme="minorHAnsi"/>
                <w:sz w:val="22"/>
                <w:szCs w:val="22"/>
                <w:lang w:eastAsia="en-US"/>
              </w:rPr>
            </w:pPr>
          </w:p>
        </w:tc>
        <w:tc>
          <w:tcPr>
            <w:tcW w:w="994" w:type="pct"/>
            <w:vMerge/>
          </w:tcPr>
          <w:p w14:paraId="39A378F6" w14:textId="6F48218F" w:rsidR="000C5E6D" w:rsidRPr="00385F08" w:rsidRDefault="000C5E6D" w:rsidP="001241B7">
            <w:pPr>
              <w:spacing w:after="0"/>
              <w:rPr>
                <w:rFonts w:asciiTheme="minorHAnsi" w:hAnsiTheme="minorHAnsi" w:cstheme="minorHAnsi"/>
                <w:sz w:val="22"/>
                <w:szCs w:val="22"/>
              </w:rPr>
            </w:pPr>
          </w:p>
        </w:tc>
        <w:tc>
          <w:tcPr>
            <w:tcW w:w="1945" w:type="pct"/>
            <w:tcMar>
              <w:top w:w="120" w:type="dxa"/>
              <w:left w:w="120" w:type="dxa"/>
              <w:bottom w:w="120" w:type="dxa"/>
              <w:right w:w="120" w:type="dxa"/>
            </w:tcMar>
            <w:vAlign w:val="center"/>
            <w:hideMark/>
          </w:tcPr>
          <w:p w14:paraId="79C787B7" w14:textId="53FBD14D" w:rsidR="000C5E6D" w:rsidRPr="00385F08" w:rsidRDefault="000C5E6D" w:rsidP="001241B7">
            <w:pPr>
              <w:spacing w:after="0"/>
              <w:rPr>
                <w:rFonts w:asciiTheme="minorHAnsi" w:hAnsiTheme="minorHAnsi" w:cstheme="minorHAnsi"/>
                <w:sz w:val="22"/>
                <w:szCs w:val="22"/>
              </w:rPr>
            </w:pPr>
            <w:r w:rsidRPr="00385F08">
              <w:rPr>
                <w:rFonts w:asciiTheme="minorHAnsi" w:hAnsiTheme="minorHAnsi" w:cstheme="minorHAnsi"/>
                <w:sz w:val="22"/>
                <w:szCs w:val="22"/>
              </w:rPr>
              <w:t>Others</w:t>
            </w:r>
            <w:r w:rsidR="00441EEF">
              <w:rPr>
                <w:rFonts w:asciiTheme="minorHAnsi" w:hAnsiTheme="minorHAnsi" w:cstheme="minorHAnsi"/>
                <w:sz w:val="22"/>
                <w:szCs w:val="22"/>
              </w:rPr>
              <w:t xml:space="preserve">—more than </w:t>
            </w:r>
            <w:r w:rsidRPr="00385F08">
              <w:rPr>
                <w:rFonts w:asciiTheme="minorHAnsi" w:hAnsiTheme="minorHAnsi" w:cstheme="minorHAnsi"/>
                <w:sz w:val="22"/>
                <w:szCs w:val="22"/>
              </w:rPr>
              <w:t>$15 million (cumulative)</w:t>
            </w:r>
          </w:p>
        </w:tc>
      </w:tr>
      <w:tr w:rsidR="000C5E6D" w:rsidRPr="00385F08" w14:paraId="1AB4272C" w14:textId="77777777" w:rsidTr="00154846">
        <w:tc>
          <w:tcPr>
            <w:tcW w:w="1005" w:type="pct"/>
            <w:vMerge/>
            <w:vAlign w:val="center"/>
            <w:hideMark/>
          </w:tcPr>
          <w:p w14:paraId="1CC8169E" w14:textId="77777777" w:rsidR="000C5E6D" w:rsidRPr="00385F08" w:rsidRDefault="000C5E6D" w:rsidP="001241B7">
            <w:pPr>
              <w:spacing w:after="0"/>
              <w:rPr>
                <w:rFonts w:asciiTheme="minorHAnsi" w:hAnsiTheme="minorHAnsi" w:cstheme="minorHAnsi"/>
                <w:b/>
                <w:sz w:val="22"/>
                <w:szCs w:val="22"/>
                <w:lang w:eastAsia="en-US"/>
              </w:rPr>
            </w:pPr>
          </w:p>
        </w:tc>
        <w:tc>
          <w:tcPr>
            <w:tcW w:w="1056" w:type="pct"/>
            <w:vMerge w:val="restart"/>
            <w:tcMar>
              <w:top w:w="120" w:type="dxa"/>
              <w:left w:w="120" w:type="dxa"/>
              <w:bottom w:w="120" w:type="dxa"/>
              <w:right w:w="120" w:type="dxa"/>
            </w:tcMar>
            <w:vAlign w:val="center"/>
            <w:hideMark/>
          </w:tcPr>
          <w:p w14:paraId="43187A00" w14:textId="77777777" w:rsidR="000C5E6D" w:rsidRPr="00385F08" w:rsidRDefault="000C5E6D" w:rsidP="001241B7">
            <w:pPr>
              <w:spacing w:after="0"/>
              <w:rPr>
                <w:rFonts w:asciiTheme="minorHAnsi" w:hAnsiTheme="minorHAnsi" w:cstheme="minorHAnsi"/>
                <w:sz w:val="22"/>
                <w:szCs w:val="22"/>
              </w:rPr>
            </w:pPr>
            <w:r w:rsidRPr="00385F08">
              <w:rPr>
                <w:rFonts w:asciiTheme="minorHAnsi" w:hAnsiTheme="minorHAnsi" w:cstheme="minorHAnsi"/>
                <w:sz w:val="22"/>
                <w:szCs w:val="22"/>
              </w:rPr>
              <w:t>Developed commercial land</w:t>
            </w:r>
          </w:p>
        </w:tc>
        <w:tc>
          <w:tcPr>
            <w:tcW w:w="994" w:type="pct"/>
            <w:vMerge w:val="restart"/>
            <w:vAlign w:val="center"/>
          </w:tcPr>
          <w:p w14:paraId="571CCBF7" w14:textId="3563B1F5" w:rsidR="000C5E6D" w:rsidRPr="00385F08" w:rsidRDefault="000C5E6D" w:rsidP="000C5E6D">
            <w:pPr>
              <w:spacing w:after="0"/>
              <w:rPr>
                <w:rFonts w:asciiTheme="minorHAnsi" w:hAnsiTheme="minorHAnsi" w:cstheme="minorHAnsi"/>
                <w:sz w:val="22"/>
                <w:szCs w:val="22"/>
              </w:rPr>
            </w:pPr>
            <w:r w:rsidRPr="00854C7B">
              <w:rPr>
                <w:rFonts w:asciiTheme="minorHAnsi" w:hAnsiTheme="minorHAnsi" w:cstheme="minorHAnsi"/>
                <w:sz w:val="22"/>
                <w:szCs w:val="22"/>
              </w:rPr>
              <w:t>Any</w:t>
            </w:r>
            <w:r w:rsidR="00F16524" w:rsidRPr="00B25E07">
              <w:rPr>
                <w:rFonts w:asciiTheme="minorHAnsi" w:hAnsiTheme="minorHAnsi" w:cstheme="minorHAnsi"/>
                <w:sz w:val="22"/>
                <w:szCs w:val="22"/>
                <w:vertAlign w:val="superscript"/>
              </w:rPr>
              <w:fldChar w:fldCharType="begin"/>
            </w:r>
            <w:r w:rsidR="00F16524" w:rsidRPr="00B25E07">
              <w:rPr>
                <w:rFonts w:asciiTheme="minorHAnsi" w:hAnsiTheme="minorHAnsi" w:cstheme="minorHAnsi"/>
                <w:sz w:val="22"/>
                <w:szCs w:val="22"/>
                <w:vertAlign w:val="superscript"/>
              </w:rPr>
              <w:instrText xml:space="preserve"> NOTEREF _Ref194582551 \h </w:instrText>
            </w:r>
            <w:r w:rsidR="00B25E07">
              <w:rPr>
                <w:rFonts w:asciiTheme="minorHAnsi" w:hAnsiTheme="minorHAnsi" w:cstheme="minorHAnsi"/>
                <w:sz w:val="22"/>
                <w:szCs w:val="22"/>
                <w:vertAlign w:val="superscript"/>
              </w:rPr>
              <w:instrText xml:space="preserve"> \* MERGEFORMAT </w:instrText>
            </w:r>
            <w:r w:rsidR="00F16524" w:rsidRPr="00B25E07">
              <w:rPr>
                <w:rFonts w:asciiTheme="minorHAnsi" w:hAnsiTheme="minorHAnsi" w:cstheme="minorHAnsi"/>
                <w:sz w:val="22"/>
                <w:szCs w:val="22"/>
                <w:vertAlign w:val="superscript"/>
              </w:rPr>
            </w:r>
            <w:r w:rsidR="00F16524" w:rsidRPr="00B25E07">
              <w:rPr>
                <w:rFonts w:asciiTheme="minorHAnsi" w:hAnsiTheme="minorHAnsi" w:cstheme="minorHAnsi"/>
                <w:sz w:val="22"/>
                <w:szCs w:val="22"/>
                <w:vertAlign w:val="superscript"/>
              </w:rPr>
              <w:fldChar w:fldCharType="separate"/>
            </w:r>
            <w:r w:rsidR="00683DBB">
              <w:rPr>
                <w:rFonts w:asciiTheme="minorHAnsi" w:hAnsiTheme="minorHAnsi" w:cstheme="minorHAnsi"/>
                <w:sz w:val="22"/>
                <w:szCs w:val="22"/>
                <w:vertAlign w:val="superscript"/>
              </w:rPr>
              <w:t>3</w:t>
            </w:r>
            <w:r w:rsidR="00F16524" w:rsidRPr="00B25E07">
              <w:rPr>
                <w:rFonts w:asciiTheme="minorHAnsi" w:hAnsiTheme="minorHAnsi" w:cstheme="minorHAnsi"/>
                <w:sz w:val="22"/>
                <w:szCs w:val="22"/>
                <w:vertAlign w:val="superscript"/>
              </w:rPr>
              <w:fldChar w:fldCharType="end"/>
            </w:r>
          </w:p>
        </w:tc>
        <w:tc>
          <w:tcPr>
            <w:tcW w:w="1945" w:type="pct"/>
            <w:tcMar>
              <w:top w:w="120" w:type="dxa"/>
              <w:left w:w="120" w:type="dxa"/>
              <w:bottom w:w="120" w:type="dxa"/>
              <w:right w:w="120" w:type="dxa"/>
            </w:tcMar>
            <w:vAlign w:val="center"/>
            <w:hideMark/>
          </w:tcPr>
          <w:p w14:paraId="1D0D1A3C" w14:textId="5CFD3306" w:rsidR="000C5E6D" w:rsidRPr="00385F08" w:rsidRDefault="00441EEF" w:rsidP="001241B7">
            <w:pPr>
              <w:spacing w:after="0"/>
              <w:rPr>
                <w:rFonts w:asciiTheme="minorHAnsi" w:hAnsiTheme="minorHAnsi" w:cstheme="minorHAnsi"/>
                <w:sz w:val="22"/>
                <w:szCs w:val="22"/>
              </w:rPr>
            </w:pPr>
            <w:r>
              <w:rPr>
                <w:rFonts w:asciiTheme="minorHAnsi" w:hAnsiTheme="minorHAnsi" w:cstheme="minorHAnsi"/>
                <w:sz w:val="22"/>
                <w:szCs w:val="22"/>
              </w:rPr>
              <w:t xml:space="preserve">More than </w:t>
            </w:r>
            <w:r w:rsidR="000C5E6D" w:rsidRPr="00385F08">
              <w:rPr>
                <w:rFonts w:asciiTheme="minorHAnsi" w:hAnsiTheme="minorHAnsi" w:cstheme="minorHAnsi"/>
                <w:sz w:val="22"/>
                <w:szCs w:val="22"/>
              </w:rPr>
              <w:t>$</w:t>
            </w:r>
            <w:r w:rsidR="000C5E6D">
              <w:rPr>
                <w:rFonts w:asciiTheme="minorHAnsi" w:hAnsiTheme="minorHAnsi" w:cstheme="minorHAnsi"/>
                <w:sz w:val="22"/>
                <w:szCs w:val="22"/>
              </w:rPr>
              <w:t>3</w:t>
            </w:r>
            <w:r w:rsidR="00303BA4">
              <w:rPr>
                <w:rFonts w:asciiTheme="minorHAnsi" w:hAnsiTheme="minorHAnsi" w:cstheme="minorHAnsi"/>
                <w:sz w:val="22"/>
                <w:szCs w:val="22"/>
              </w:rPr>
              <w:t>4</w:t>
            </w:r>
            <w:r w:rsidR="00296B9C">
              <w:rPr>
                <w:rFonts w:asciiTheme="minorHAnsi" w:hAnsiTheme="minorHAnsi" w:cstheme="minorHAnsi"/>
                <w:sz w:val="22"/>
                <w:szCs w:val="22"/>
              </w:rPr>
              <w:t>7</w:t>
            </w:r>
            <w:r w:rsidR="000C5E6D" w:rsidRPr="00385F08">
              <w:rPr>
                <w:rFonts w:asciiTheme="minorHAnsi" w:hAnsiTheme="minorHAnsi" w:cstheme="minorHAnsi"/>
                <w:sz w:val="22"/>
                <w:szCs w:val="22"/>
              </w:rPr>
              <w:t xml:space="preserve"> million</w:t>
            </w:r>
          </w:p>
        </w:tc>
      </w:tr>
      <w:tr w:rsidR="000C5E6D" w:rsidRPr="00385F08" w14:paraId="5C020408" w14:textId="77777777" w:rsidTr="00154846">
        <w:tc>
          <w:tcPr>
            <w:tcW w:w="1005" w:type="pct"/>
            <w:vMerge/>
            <w:vAlign w:val="center"/>
            <w:hideMark/>
          </w:tcPr>
          <w:p w14:paraId="0C4F7F61" w14:textId="77777777" w:rsidR="000C5E6D" w:rsidRPr="00385F08" w:rsidRDefault="000C5E6D" w:rsidP="001241B7">
            <w:pPr>
              <w:spacing w:after="0"/>
              <w:rPr>
                <w:rFonts w:asciiTheme="minorHAnsi" w:hAnsiTheme="minorHAnsi" w:cstheme="minorHAnsi"/>
                <w:b/>
                <w:sz w:val="22"/>
                <w:szCs w:val="22"/>
                <w:lang w:eastAsia="en-US"/>
              </w:rPr>
            </w:pPr>
          </w:p>
        </w:tc>
        <w:tc>
          <w:tcPr>
            <w:tcW w:w="1056" w:type="pct"/>
            <w:vMerge/>
            <w:vAlign w:val="center"/>
            <w:hideMark/>
          </w:tcPr>
          <w:p w14:paraId="60D66F26" w14:textId="77777777" w:rsidR="000C5E6D" w:rsidRPr="00385F08" w:rsidRDefault="000C5E6D" w:rsidP="001241B7">
            <w:pPr>
              <w:spacing w:after="0"/>
              <w:rPr>
                <w:rFonts w:asciiTheme="minorHAnsi" w:hAnsiTheme="minorHAnsi" w:cstheme="minorHAnsi"/>
                <w:sz w:val="22"/>
                <w:szCs w:val="22"/>
                <w:lang w:eastAsia="en-US"/>
              </w:rPr>
            </w:pPr>
          </w:p>
        </w:tc>
        <w:tc>
          <w:tcPr>
            <w:tcW w:w="994" w:type="pct"/>
            <w:vMerge/>
            <w:vAlign w:val="center"/>
          </w:tcPr>
          <w:p w14:paraId="03A74F41" w14:textId="0471F3E9" w:rsidR="000C5E6D" w:rsidRPr="00385F08" w:rsidRDefault="000C5E6D" w:rsidP="000C5E6D">
            <w:pPr>
              <w:spacing w:after="0"/>
              <w:rPr>
                <w:rFonts w:asciiTheme="minorHAnsi" w:hAnsiTheme="minorHAnsi" w:cstheme="minorHAnsi"/>
                <w:sz w:val="22"/>
                <w:szCs w:val="22"/>
              </w:rPr>
            </w:pPr>
          </w:p>
        </w:tc>
        <w:tc>
          <w:tcPr>
            <w:tcW w:w="1945" w:type="pct"/>
            <w:tcMar>
              <w:top w:w="120" w:type="dxa"/>
              <w:left w:w="120" w:type="dxa"/>
              <w:bottom w:w="120" w:type="dxa"/>
              <w:right w:w="120" w:type="dxa"/>
            </w:tcMar>
            <w:vAlign w:val="center"/>
            <w:hideMark/>
          </w:tcPr>
          <w:p w14:paraId="1D72E683" w14:textId="2BB04AD6" w:rsidR="000C5E6D" w:rsidRPr="00385F08" w:rsidRDefault="00441EEF" w:rsidP="001241B7">
            <w:pPr>
              <w:spacing w:after="0"/>
              <w:rPr>
                <w:rFonts w:asciiTheme="minorHAnsi" w:hAnsiTheme="minorHAnsi" w:cstheme="minorHAnsi"/>
                <w:sz w:val="22"/>
                <w:szCs w:val="22"/>
              </w:rPr>
            </w:pPr>
            <w:r>
              <w:rPr>
                <w:rFonts w:asciiTheme="minorHAnsi" w:hAnsiTheme="minorHAnsi" w:cstheme="minorHAnsi"/>
                <w:sz w:val="22"/>
                <w:szCs w:val="22"/>
              </w:rPr>
              <w:t>If</w:t>
            </w:r>
            <w:r w:rsidRPr="00385F08">
              <w:rPr>
                <w:rFonts w:asciiTheme="minorHAnsi" w:hAnsiTheme="minorHAnsi" w:cstheme="minorHAnsi"/>
                <w:sz w:val="22"/>
                <w:szCs w:val="22"/>
              </w:rPr>
              <w:t xml:space="preserve"> </w:t>
            </w:r>
            <w:r w:rsidR="000C5E6D" w:rsidRPr="00385F08">
              <w:rPr>
                <w:rFonts w:asciiTheme="minorHAnsi" w:hAnsiTheme="minorHAnsi" w:cstheme="minorHAnsi"/>
                <w:sz w:val="22"/>
                <w:szCs w:val="22"/>
              </w:rPr>
              <w:t>the land is sensitive</w:t>
            </w:r>
            <w:r w:rsidR="000C5E6D" w:rsidRPr="00385F08">
              <w:rPr>
                <w:rStyle w:val="FootnoteReference"/>
                <w:rFonts w:asciiTheme="minorHAnsi" w:hAnsiTheme="minorHAnsi" w:cstheme="minorHAnsi"/>
                <w:sz w:val="22"/>
                <w:szCs w:val="22"/>
              </w:rPr>
              <w:footnoteReference w:id="7"/>
            </w:r>
            <w:r>
              <w:rPr>
                <w:rFonts w:asciiTheme="minorHAnsi" w:hAnsiTheme="minorHAnsi" w:cstheme="minorHAnsi"/>
                <w:sz w:val="22"/>
                <w:szCs w:val="22"/>
              </w:rPr>
              <w:t xml:space="preserve">—more than </w:t>
            </w:r>
            <w:r w:rsidR="000C5E6D" w:rsidRPr="00385F08">
              <w:rPr>
                <w:rFonts w:asciiTheme="minorHAnsi" w:hAnsiTheme="minorHAnsi" w:cstheme="minorHAnsi"/>
                <w:sz w:val="22"/>
                <w:szCs w:val="22"/>
              </w:rPr>
              <w:t>$</w:t>
            </w:r>
            <w:r w:rsidR="000C5E6D">
              <w:rPr>
                <w:rFonts w:asciiTheme="minorHAnsi" w:hAnsiTheme="minorHAnsi" w:cstheme="minorHAnsi"/>
                <w:sz w:val="22"/>
                <w:szCs w:val="22"/>
              </w:rPr>
              <w:t>7</w:t>
            </w:r>
            <w:r w:rsidR="00E05E8C">
              <w:rPr>
                <w:rFonts w:asciiTheme="minorHAnsi" w:hAnsiTheme="minorHAnsi" w:cstheme="minorHAnsi"/>
                <w:sz w:val="22"/>
                <w:szCs w:val="22"/>
              </w:rPr>
              <w:t>5</w:t>
            </w:r>
            <w:r w:rsidR="000C5E6D" w:rsidRPr="00385F08">
              <w:rPr>
                <w:rFonts w:asciiTheme="minorHAnsi" w:hAnsiTheme="minorHAnsi" w:cstheme="minorHAnsi"/>
                <w:sz w:val="22"/>
                <w:szCs w:val="22"/>
              </w:rPr>
              <w:t xml:space="preserve"> million</w:t>
            </w:r>
          </w:p>
        </w:tc>
      </w:tr>
      <w:tr w:rsidR="000C5E6D" w:rsidRPr="00385F08" w14:paraId="177FAB93" w14:textId="77777777" w:rsidTr="00154846">
        <w:tc>
          <w:tcPr>
            <w:tcW w:w="1005" w:type="pct"/>
            <w:vMerge/>
            <w:vAlign w:val="center"/>
          </w:tcPr>
          <w:p w14:paraId="46A2B689" w14:textId="77777777" w:rsidR="000C5E6D" w:rsidRPr="00385F08" w:rsidRDefault="000C5E6D" w:rsidP="001241B7">
            <w:pPr>
              <w:spacing w:after="0"/>
              <w:rPr>
                <w:rFonts w:asciiTheme="minorHAnsi" w:hAnsiTheme="minorHAnsi" w:cstheme="minorHAnsi"/>
                <w:b/>
                <w:sz w:val="22"/>
                <w:szCs w:val="22"/>
                <w:lang w:eastAsia="en-US"/>
              </w:rPr>
            </w:pPr>
          </w:p>
        </w:tc>
        <w:tc>
          <w:tcPr>
            <w:tcW w:w="1056" w:type="pct"/>
            <w:vMerge/>
            <w:vAlign w:val="center"/>
          </w:tcPr>
          <w:p w14:paraId="6B417112" w14:textId="77777777" w:rsidR="000C5E6D" w:rsidRPr="00385F08" w:rsidRDefault="000C5E6D" w:rsidP="001241B7">
            <w:pPr>
              <w:spacing w:after="0"/>
              <w:rPr>
                <w:rFonts w:asciiTheme="minorHAnsi" w:hAnsiTheme="minorHAnsi" w:cstheme="minorHAnsi"/>
                <w:sz w:val="22"/>
                <w:szCs w:val="22"/>
                <w:lang w:eastAsia="en-US"/>
              </w:rPr>
            </w:pPr>
          </w:p>
        </w:tc>
        <w:tc>
          <w:tcPr>
            <w:tcW w:w="994" w:type="pct"/>
            <w:vMerge/>
            <w:vAlign w:val="center"/>
          </w:tcPr>
          <w:p w14:paraId="192C54DF" w14:textId="16C8E444" w:rsidR="000C5E6D" w:rsidRDefault="000C5E6D" w:rsidP="000C5E6D">
            <w:pPr>
              <w:spacing w:after="0"/>
              <w:rPr>
                <w:rFonts w:asciiTheme="minorHAnsi" w:hAnsiTheme="minorHAnsi" w:cstheme="minorHAnsi"/>
                <w:sz w:val="22"/>
                <w:szCs w:val="22"/>
              </w:rPr>
            </w:pPr>
          </w:p>
        </w:tc>
        <w:tc>
          <w:tcPr>
            <w:tcW w:w="1945" w:type="pct"/>
            <w:tcMar>
              <w:top w:w="120" w:type="dxa"/>
              <w:left w:w="120" w:type="dxa"/>
              <w:bottom w:w="120" w:type="dxa"/>
              <w:right w:w="120" w:type="dxa"/>
            </w:tcMar>
            <w:vAlign w:val="center"/>
          </w:tcPr>
          <w:p w14:paraId="489BAE6F" w14:textId="4B8B9688" w:rsidR="000C5E6D" w:rsidRPr="00385F08" w:rsidRDefault="000C5E6D" w:rsidP="001241B7">
            <w:pPr>
              <w:spacing w:after="0"/>
              <w:rPr>
                <w:rFonts w:asciiTheme="minorHAnsi" w:hAnsiTheme="minorHAnsi" w:cstheme="minorHAnsi"/>
                <w:sz w:val="22"/>
                <w:szCs w:val="22"/>
              </w:rPr>
            </w:pPr>
            <w:r>
              <w:rPr>
                <w:rFonts w:asciiTheme="minorHAnsi" w:hAnsiTheme="minorHAnsi" w:cstheme="minorHAnsi"/>
                <w:sz w:val="22"/>
                <w:szCs w:val="22"/>
              </w:rPr>
              <w:t>For India, non-sensitive land for the supply of services</w:t>
            </w:r>
            <w:r w:rsidR="00CA00FF">
              <w:rPr>
                <w:rFonts w:asciiTheme="minorHAnsi" w:hAnsiTheme="minorHAnsi" w:cstheme="minorHAnsi"/>
                <w:sz w:val="22"/>
                <w:szCs w:val="22"/>
              </w:rPr>
              <w:t xml:space="preserve">—more than </w:t>
            </w:r>
            <w:r>
              <w:rPr>
                <w:rFonts w:asciiTheme="minorHAnsi" w:hAnsiTheme="minorHAnsi" w:cstheme="minorHAnsi"/>
                <w:sz w:val="22"/>
                <w:szCs w:val="22"/>
              </w:rPr>
              <w:t>$5</w:t>
            </w:r>
            <w:r w:rsidR="00E05E8C">
              <w:rPr>
                <w:rFonts w:asciiTheme="minorHAnsi" w:hAnsiTheme="minorHAnsi" w:cstheme="minorHAnsi"/>
                <w:sz w:val="22"/>
                <w:szCs w:val="22"/>
              </w:rPr>
              <w:t>6</w:t>
            </w:r>
            <w:r w:rsidR="004A390D">
              <w:rPr>
                <w:rFonts w:asciiTheme="minorHAnsi" w:hAnsiTheme="minorHAnsi" w:cstheme="minorHAnsi"/>
                <w:sz w:val="22"/>
                <w:szCs w:val="22"/>
              </w:rPr>
              <w:t>0</w:t>
            </w:r>
            <w:r>
              <w:rPr>
                <w:rFonts w:asciiTheme="minorHAnsi" w:hAnsiTheme="minorHAnsi" w:cstheme="minorHAnsi"/>
                <w:sz w:val="22"/>
                <w:szCs w:val="22"/>
              </w:rPr>
              <w:t xml:space="preserve"> million</w:t>
            </w:r>
            <w:r>
              <w:rPr>
                <w:rStyle w:val="FootnoteReference"/>
                <w:rFonts w:asciiTheme="minorHAnsi" w:hAnsiTheme="minorHAnsi"/>
                <w:sz w:val="22"/>
                <w:szCs w:val="22"/>
              </w:rPr>
              <w:footnoteReference w:id="8"/>
            </w:r>
          </w:p>
        </w:tc>
      </w:tr>
      <w:tr w:rsidR="001241B7" w:rsidRPr="00385F08" w14:paraId="674CB0EF" w14:textId="77777777" w:rsidTr="00154846">
        <w:tc>
          <w:tcPr>
            <w:tcW w:w="1005" w:type="pct"/>
            <w:vMerge/>
            <w:vAlign w:val="center"/>
            <w:hideMark/>
          </w:tcPr>
          <w:p w14:paraId="54619BF1" w14:textId="77777777" w:rsidR="001241B7" w:rsidRPr="00385F08" w:rsidRDefault="001241B7" w:rsidP="001241B7">
            <w:pPr>
              <w:spacing w:after="0"/>
              <w:rPr>
                <w:rFonts w:asciiTheme="minorHAnsi" w:hAnsiTheme="minorHAnsi" w:cstheme="minorHAnsi"/>
                <w:b/>
                <w:sz w:val="22"/>
                <w:szCs w:val="22"/>
                <w:lang w:eastAsia="en-US"/>
              </w:rPr>
            </w:pPr>
          </w:p>
        </w:tc>
        <w:tc>
          <w:tcPr>
            <w:tcW w:w="1056" w:type="pct"/>
            <w:tcMar>
              <w:top w:w="120" w:type="dxa"/>
              <w:left w:w="120" w:type="dxa"/>
              <w:bottom w:w="120" w:type="dxa"/>
              <w:right w:w="120" w:type="dxa"/>
            </w:tcMar>
            <w:vAlign w:val="center"/>
            <w:hideMark/>
          </w:tcPr>
          <w:p w14:paraId="3FA8621D" w14:textId="451ABD67" w:rsidR="001241B7" w:rsidRPr="00385F08" w:rsidRDefault="001241B7" w:rsidP="001241B7">
            <w:pPr>
              <w:spacing w:after="0"/>
              <w:rPr>
                <w:rFonts w:asciiTheme="minorHAnsi" w:hAnsiTheme="minorHAnsi" w:cstheme="minorHAnsi"/>
                <w:sz w:val="22"/>
                <w:szCs w:val="22"/>
              </w:rPr>
            </w:pPr>
            <w:r w:rsidRPr="00385F08">
              <w:rPr>
                <w:rFonts w:asciiTheme="minorHAnsi" w:hAnsiTheme="minorHAnsi" w:cstheme="minorHAnsi"/>
                <w:sz w:val="22"/>
                <w:szCs w:val="22"/>
              </w:rPr>
              <w:t xml:space="preserve">Mining </w:t>
            </w:r>
            <w:r w:rsidR="00587E06">
              <w:rPr>
                <w:rFonts w:asciiTheme="minorHAnsi" w:hAnsiTheme="minorHAnsi" w:cstheme="minorHAnsi"/>
                <w:sz w:val="22"/>
                <w:szCs w:val="22"/>
              </w:rPr>
              <w:t>or</w:t>
            </w:r>
            <w:r w:rsidR="00587E06" w:rsidRPr="00385F08">
              <w:rPr>
                <w:rFonts w:asciiTheme="minorHAnsi" w:hAnsiTheme="minorHAnsi" w:cstheme="minorHAnsi"/>
                <w:sz w:val="22"/>
                <w:szCs w:val="22"/>
              </w:rPr>
              <w:t xml:space="preserve"> </w:t>
            </w:r>
            <w:r w:rsidRPr="00385F08">
              <w:rPr>
                <w:rFonts w:asciiTheme="minorHAnsi" w:hAnsiTheme="minorHAnsi" w:cstheme="minorHAnsi"/>
                <w:sz w:val="22"/>
                <w:szCs w:val="22"/>
              </w:rPr>
              <w:t>production tenements</w:t>
            </w:r>
          </w:p>
        </w:tc>
        <w:tc>
          <w:tcPr>
            <w:tcW w:w="994" w:type="pct"/>
            <w:vAlign w:val="center"/>
          </w:tcPr>
          <w:p w14:paraId="7CD30AD4" w14:textId="6CC36AA7" w:rsidR="001241B7" w:rsidRPr="00385F08" w:rsidRDefault="001241B7" w:rsidP="000C5E6D">
            <w:pPr>
              <w:spacing w:after="0"/>
              <w:rPr>
                <w:rFonts w:asciiTheme="minorHAnsi" w:hAnsiTheme="minorHAnsi" w:cstheme="minorHAnsi"/>
                <w:sz w:val="22"/>
                <w:szCs w:val="22"/>
              </w:rPr>
            </w:pPr>
            <w:r w:rsidRPr="00854C7B">
              <w:rPr>
                <w:rFonts w:asciiTheme="minorHAnsi" w:hAnsiTheme="minorHAnsi" w:cstheme="minorHAnsi"/>
                <w:sz w:val="22"/>
                <w:szCs w:val="22"/>
              </w:rPr>
              <w:t>Any</w:t>
            </w:r>
            <w:r w:rsidR="00F16524" w:rsidRPr="00B25E07">
              <w:rPr>
                <w:rFonts w:asciiTheme="minorHAnsi" w:hAnsiTheme="minorHAnsi" w:cstheme="minorHAnsi"/>
                <w:sz w:val="22"/>
                <w:szCs w:val="22"/>
                <w:vertAlign w:val="superscript"/>
              </w:rPr>
              <w:fldChar w:fldCharType="begin"/>
            </w:r>
            <w:r w:rsidR="00F16524" w:rsidRPr="00B25E07">
              <w:rPr>
                <w:rFonts w:asciiTheme="minorHAnsi" w:hAnsiTheme="minorHAnsi" w:cstheme="minorHAnsi"/>
                <w:sz w:val="22"/>
                <w:szCs w:val="22"/>
                <w:vertAlign w:val="superscript"/>
              </w:rPr>
              <w:instrText xml:space="preserve"> NOTEREF _Ref194582551 \h </w:instrText>
            </w:r>
            <w:r w:rsidR="00B25E07">
              <w:rPr>
                <w:rFonts w:asciiTheme="minorHAnsi" w:hAnsiTheme="minorHAnsi" w:cstheme="minorHAnsi"/>
                <w:sz w:val="22"/>
                <w:szCs w:val="22"/>
                <w:vertAlign w:val="superscript"/>
              </w:rPr>
              <w:instrText xml:space="preserve"> \* MERGEFORMAT </w:instrText>
            </w:r>
            <w:r w:rsidR="00F16524" w:rsidRPr="00B25E07">
              <w:rPr>
                <w:rFonts w:asciiTheme="minorHAnsi" w:hAnsiTheme="minorHAnsi" w:cstheme="minorHAnsi"/>
                <w:sz w:val="22"/>
                <w:szCs w:val="22"/>
                <w:vertAlign w:val="superscript"/>
              </w:rPr>
            </w:r>
            <w:r w:rsidR="00F16524" w:rsidRPr="00B25E07">
              <w:rPr>
                <w:rFonts w:asciiTheme="minorHAnsi" w:hAnsiTheme="minorHAnsi" w:cstheme="minorHAnsi"/>
                <w:sz w:val="22"/>
                <w:szCs w:val="22"/>
                <w:vertAlign w:val="superscript"/>
              </w:rPr>
              <w:fldChar w:fldCharType="separate"/>
            </w:r>
            <w:r w:rsidR="00683DBB">
              <w:rPr>
                <w:rFonts w:asciiTheme="minorHAnsi" w:hAnsiTheme="minorHAnsi" w:cstheme="minorHAnsi"/>
                <w:sz w:val="22"/>
                <w:szCs w:val="22"/>
                <w:vertAlign w:val="superscript"/>
              </w:rPr>
              <w:t>3</w:t>
            </w:r>
            <w:r w:rsidR="00F16524" w:rsidRPr="00B25E07">
              <w:rPr>
                <w:rFonts w:asciiTheme="minorHAnsi" w:hAnsiTheme="minorHAnsi" w:cstheme="minorHAnsi"/>
                <w:sz w:val="22"/>
                <w:szCs w:val="22"/>
                <w:vertAlign w:val="superscript"/>
              </w:rPr>
              <w:fldChar w:fldCharType="end"/>
            </w:r>
          </w:p>
        </w:tc>
        <w:tc>
          <w:tcPr>
            <w:tcW w:w="1945" w:type="pct"/>
            <w:tcMar>
              <w:top w:w="120" w:type="dxa"/>
              <w:left w:w="120" w:type="dxa"/>
              <w:bottom w:w="120" w:type="dxa"/>
              <w:right w:w="120" w:type="dxa"/>
            </w:tcMar>
            <w:vAlign w:val="center"/>
            <w:hideMark/>
          </w:tcPr>
          <w:p w14:paraId="39C8CC26" w14:textId="1D6AD788" w:rsidR="001241B7" w:rsidRPr="00385F08" w:rsidRDefault="001241B7" w:rsidP="001241B7">
            <w:pPr>
              <w:spacing w:after="0"/>
              <w:rPr>
                <w:rFonts w:asciiTheme="minorHAnsi" w:hAnsiTheme="minorHAnsi" w:cstheme="minorHAnsi"/>
                <w:sz w:val="22"/>
                <w:szCs w:val="22"/>
              </w:rPr>
            </w:pPr>
            <w:r w:rsidRPr="00385F08">
              <w:rPr>
                <w:rFonts w:asciiTheme="minorHAnsi" w:hAnsiTheme="minorHAnsi" w:cstheme="minorHAnsi"/>
                <w:sz w:val="22"/>
                <w:szCs w:val="22"/>
              </w:rPr>
              <w:t>$0</w:t>
            </w:r>
            <w:r w:rsidR="00E55FB3">
              <w:rPr>
                <w:rFonts w:asciiTheme="minorHAnsi" w:hAnsiTheme="minorHAnsi" w:cstheme="minorHAnsi"/>
                <w:sz w:val="22"/>
                <w:szCs w:val="22"/>
              </w:rPr>
              <w:t xml:space="preserve"> or more</w:t>
            </w:r>
          </w:p>
        </w:tc>
      </w:tr>
      <w:tr w:rsidR="001241B7" w:rsidRPr="006E0664" w14:paraId="4264E129" w14:textId="77777777" w:rsidTr="00154846">
        <w:tc>
          <w:tcPr>
            <w:tcW w:w="1005" w:type="pct"/>
            <w:tcMar>
              <w:top w:w="120" w:type="dxa"/>
              <w:left w:w="120" w:type="dxa"/>
              <w:bottom w:w="120" w:type="dxa"/>
              <w:right w:w="120" w:type="dxa"/>
            </w:tcMar>
            <w:vAlign w:val="center"/>
            <w:hideMark/>
          </w:tcPr>
          <w:p w14:paraId="042CA695" w14:textId="77777777" w:rsidR="001241B7" w:rsidRPr="00385F08" w:rsidRDefault="001241B7" w:rsidP="001241B7">
            <w:pPr>
              <w:spacing w:after="0"/>
              <w:rPr>
                <w:rFonts w:asciiTheme="minorHAnsi" w:hAnsiTheme="minorHAnsi" w:cstheme="minorHAnsi"/>
                <w:b/>
                <w:sz w:val="22"/>
                <w:szCs w:val="22"/>
              </w:rPr>
            </w:pPr>
            <w:r w:rsidRPr="00385F08">
              <w:rPr>
                <w:rFonts w:asciiTheme="minorHAnsi" w:hAnsiTheme="minorHAnsi" w:cstheme="minorHAnsi"/>
                <w:b/>
                <w:sz w:val="22"/>
                <w:szCs w:val="22"/>
              </w:rPr>
              <w:t>Foreign government investors</w:t>
            </w:r>
          </w:p>
        </w:tc>
        <w:tc>
          <w:tcPr>
            <w:tcW w:w="1056" w:type="pct"/>
            <w:tcMar>
              <w:top w:w="120" w:type="dxa"/>
              <w:left w:w="120" w:type="dxa"/>
              <w:bottom w:w="120" w:type="dxa"/>
              <w:right w:w="120" w:type="dxa"/>
            </w:tcMar>
            <w:vAlign w:val="center"/>
            <w:hideMark/>
          </w:tcPr>
          <w:p w14:paraId="3FFF48DE" w14:textId="77777777" w:rsidR="001241B7" w:rsidRPr="00385F08" w:rsidRDefault="001241B7" w:rsidP="001241B7">
            <w:pPr>
              <w:spacing w:after="0"/>
              <w:rPr>
                <w:rFonts w:asciiTheme="minorHAnsi" w:hAnsiTheme="minorHAnsi" w:cstheme="minorHAnsi"/>
                <w:sz w:val="22"/>
                <w:szCs w:val="22"/>
              </w:rPr>
            </w:pPr>
            <w:r>
              <w:rPr>
                <w:rFonts w:asciiTheme="minorHAnsi" w:hAnsiTheme="minorHAnsi" w:cstheme="minorHAnsi"/>
                <w:sz w:val="22"/>
                <w:szCs w:val="22"/>
              </w:rPr>
              <w:t>All investments</w:t>
            </w:r>
          </w:p>
        </w:tc>
        <w:tc>
          <w:tcPr>
            <w:tcW w:w="994" w:type="pct"/>
            <w:vAlign w:val="center"/>
          </w:tcPr>
          <w:p w14:paraId="6643FA29" w14:textId="5D53679A" w:rsidR="001241B7" w:rsidRPr="00385F08" w:rsidRDefault="001241B7" w:rsidP="000C5E6D">
            <w:pPr>
              <w:spacing w:after="0"/>
              <w:rPr>
                <w:rFonts w:asciiTheme="minorHAnsi" w:hAnsiTheme="minorHAnsi" w:cstheme="minorHAnsi"/>
                <w:sz w:val="22"/>
                <w:szCs w:val="22"/>
              </w:rPr>
            </w:pPr>
            <w:r w:rsidRPr="00854C7B">
              <w:rPr>
                <w:rFonts w:asciiTheme="minorHAnsi" w:hAnsiTheme="minorHAnsi" w:cstheme="minorHAnsi"/>
                <w:sz w:val="22"/>
                <w:szCs w:val="22"/>
              </w:rPr>
              <w:t>Any</w:t>
            </w:r>
            <w:r w:rsidR="00B25E07" w:rsidRPr="00B25E07">
              <w:rPr>
                <w:rFonts w:asciiTheme="minorHAnsi" w:hAnsiTheme="minorHAnsi" w:cstheme="minorHAnsi"/>
                <w:sz w:val="22"/>
                <w:szCs w:val="22"/>
                <w:vertAlign w:val="superscript"/>
              </w:rPr>
              <w:fldChar w:fldCharType="begin"/>
            </w:r>
            <w:r w:rsidR="00B25E07" w:rsidRPr="00B25E07">
              <w:rPr>
                <w:rFonts w:asciiTheme="minorHAnsi" w:hAnsiTheme="minorHAnsi" w:cstheme="minorHAnsi"/>
                <w:sz w:val="22"/>
                <w:szCs w:val="22"/>
                <w:vertAlign w:val="superscript"/>
              </w:rPr>
              <w:instrText xml:space="preserve"> NOTEREF _Ref194582551 \h </w:instrText>
            </w:r>
            <w:r w:rsidR="00B25E07">
              <w:rPr>
                <w:rFonts w:asciiTheme="minorHAnsi" w:hAnsiTheme="minorHAnsi" w:cstheme="minorHAnsi"/>
                <w:sz w:val="22"/>
                <w:szCs w:val="22"/>
                <w:vertAlign w:val="superscript"/>
              </w:rPr>
              <w:instrText xml:space="preserve"> \* MERGEFORMAT </w:instrText>
            </w:r>
            <w:r w:rsidR="00B25E07" w:rsidRPr="00B25E07">
              <w:rPr>
                <w:rFonts w:asciiTheme="minorHAnsi" w:hAnsiTheme="minorHAnsi" w:cstheme="minorHAnsi"/>
                <w:sz w:val="22"/>
                <w:szCs w:val="22"/>
                <w:vertAlign w:val="superscript"/>
              </w:rPr>
            </w:r>
            <w:r w:rsidR="00B25E07" w:rsidRPr="00B25E07">
              <w:rPr>
                <w:rFonts w:asciiTheme="minorHAnsi" w:hAnsiTheme="minorHAnsi" w:cstheme="minorHAnsi"/>
                <w:sz w:val="22"/>
                <w:szCs w:val="22"/>
                <w:vertAlign w:val="superscript"/>
              </w:rPr>
              <w:fldChar w:fldCharType="separate"/>
            </w:r>
            <w:r w:rsidR="00683DBB">
              <w:rPr>
                <w:rFonts w:asciiTheme="minorHAnsi" w:hAnsiTheme="minorHAnsi" w:cstheme="minorHAnsi"/>
                <w:sz w:val="22"/>
                <w:szCs w:val="22"/>
                <w:vertAlign w:val="superscript"/>
              </w:rPr>
              <w:t>3</w:t>
            </w:r>
            <w:r w:rsidR="00B25E07" w:rsidRPr="00B25E07">
              <w:rPr>
                <w:rFonts w:asciiTheme="minorHAnsi" w:hAnsiTheme="minorHAnsi" w:cstheme="minorHAnsi"/>
                <w:sz w:val="22"/>
                <w:szCs w:val="22"/>
                <w:vertAlign w:val="superscript"/>
              </w:rPr>
              <w:fldChar w:fldCharType="end"/>
            </w:r>
          </w:p>
        </w:tc>
        <w:tc>
          <w:tcPr>
            <w:tcW w:w="1945" w:type="pct"/>
            <w:tcMar>
              <w:top w:w="120" w:type="dxa"/>
              <w:left w:w="120" w:type="dxa"/>
              <w:bottom w:w="120" w:type="dxa"/>
              <w:right w:w="120" w:type="dxa"/>
            </w:tcMar>
            <w:vAlign w:val="center"/>
            <w:hideMark/>
          </w:tcPr>
          <w:p w14:paraId="3F9B42F7" w14:textId="004E79D6" w:rsidR="001241B7" w:rsidRPr="006E0664" w:rsidRDefault="001241B7" w:rsidP="001241B7">
            <w:pPr>
              <w:spacing w:after="0"/>
              <w:rPr>
                <w:rFonts w:asciiTheme="minorHAnsi" w:hAnsiTheme="minorHAnsi" w:cstheme="minorHAnsi"/>
                <w:sz w:val="22"/>
                <w:szCs w:val="22"/>
              </w:rPr>
            </w:pPr>
            <w:r w:rsidRPr="00385F08">
              <w:rPr>
                <w:rFonts w:asciiTheme="minorHAnsi" w:hAnsiTheme="minorHAnsi" w:cstheme="minorHAnsi"/>
                <w:sz w:val="22"/>
                <w:szCs w:val="22"/>
              </w:rPr>
              <w:t>$0</w:t>
            </w:r>
            <w:r w:rsidR="00E55FB3">
              <w:rPr>
                <w:rFonts w:asciiTheme="minorHAnsi" w:hAnsiTheme="minorHAnsi" w:cstheme="minorHAnsi"/>
                <w:sz w:val="22"/>
                <w:szCs w:val="22"/>
              </w:rPr>
              <w:t xml:space="preserve"> or more</w:t>
            </w:r>
          </w:p>
        </w:tc>
      </w:tr>
    </w:tbl>
    <w:p w14:paraId="331EBD29" w14:textId="77777777" w:rsidR="00DE4C2E" w:rsidRDefault="00DE4C2E"/>
    <w:p w14:paraId="6EE582EC" w14:textId="77777777" w:rsidR="00DD624C" w:rsidRDefault="00DD624C">
      <w:pPr>
        <w:spacing w:after="160" w:line="259" w:lineRule="auto"/>
        <w:rPr>
          <w:rFonts w:ascii="Arial Narrow" w:hAnsi="Arial Narrow"/>
          <w:b/>
          <w:color w:val="003E74"/>
          <w:sz w:val="20"/>
          <w:szCs w:val="20"/>
        </w:rPr>
      </w:pPr>
      <w:r>
        <w:br w:type="page"/>
      </w:r>
    </w:p>
    <w:p w14:paraId="3D4B8A83" w14:textId="490A08DE" w:rsidR="00221D84" w:rsidRPr="0028795A" w:rsidRDefault="00575A70" w:rsidP="00411BB1">
      <w:pPr>
        <w:pStyle w:val="Heading3"/>
      </w:pPr>
      <w:r w:rsidRPr="0028795A">
        <w:lastRenderedPageBreak/>
        <w:t>Other investments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05"/>
        <w:gridCol w:w="2597"/>
        <w:gridCol w:w="1553"/>
        <w:gridCol w:w="2633"/>
      </w:tblGrid>
      <w:tr w:rsidR="003F1605" w:rsidRPr="00385F08" w14:paraId="780CC945" w14:textId="77777777" w:rsidTr="00F7716A">
        <w:trPr>
          <w:tblHeader/>
        </w:trPr>
        <w:tc>
          <w:tcPr>
            <w:tcW w:w="1004" w:type="pct"/>
            <w:shd w:val="clear" w:color="auto" w:fill="D9D9D9" w:themeFill="background1" w:themeFillShade="D9"/>
            <w:tcMar>
              <w:top w:w="120" w:type="dxa"/>
              <w:left w:w="120" w:type="dxa"/>
              <w:bottom w:w="120" w:type="dxa"/>
              <w:right w:w="120" w:type="dxa"/>
            </w:tcMar>
            <w:vAlign w:val="center"/>
            <w:hideMark/>
          </w:tcPr>
          <w:p w14:paraId="160D9B69" w14:textId="77777777" w:rsidR="001241B7" w:rsidRPr="00385F08" w:rsidRDefault="001241B7" w:rsidP="00D118F7">
            <w:pPr>
              <w:spacing w:after="0"/>
              <w:rPr>
                <w:rFonts w:asciiTheme="minorHAnsi" w:hAnsiTheme="minorHAnsi" w:cstheme="minorHAnsi"/>
                <w:b/>
                <w:sz w:val="22"/>
                <w:szCs w:val="22"/>
              </w:rPr>
            </w:pPr>
            <w:r w:rsidRPr="00385F08">
              <w:rPr>
                <w:rFonts w:asciiTheme="minorHAnsi" w:hAnsiTheme="minorHAnsi" w:cstheme="minorHAnsi"/>
                <w:b/>
                <w:sz w:val="22"/>
                <w:szCs w:val="22"/>
              </w:rPr>
              <w:t>Investor</w:t>
            </w:r>
          </w:p>
        </w:tc>
        <w:tc>
          <w:tcPr>
            <w:tcW w:w="1530" w:type="pct"/>
            <w:shd w:val="clear" w:color="auto" w:fill="D9D9D9" w:themeFill="background1" w:themeFillShade="D9"/>
            <w:tcMar>
              <w:top w:w="120" w:type="dxa"/>
              <w:left w:w="120" w:type="dxa"/>
              <w:bottom w:w="120" w:type="dxa"/>
              <w:right w:w="120" w:type="dxa"/>
            </w:tcMar>
            <w:vAlign w:val="center"/>
            <w:hideMark/>
          </w:tcPr>
          <w:p w14:paraId="230FBA20" w14:textId="66E0196C" w:rsidR="001241B7" w:rsidRPr="00385F08" w:rsidRDefault="006A431A" w:rsidP="00D118F7">
            <w:pPr>
              <w:spacing w:after="0"/>
              <w:rPr>
                <w:rFonts w:asciiTheme="minorHAnsi" w:hAnsiTheme="minorHAnsi" w:cstheme="minorHAnsi"/>
                <w:b/>
                <w:sz w:val="22"/>
                <w:szCs w:val="22"/>
              </w:rPr>
            </w:pPr>
            <w:r>
              <w:rPr>
                <w:rFonts w:asciiTheme="minorHAnsi" w:hAnsiTheme="minorHAnsi" w:cstheme="minorHAnsi"/>
                <w:b/>
                <w:sz w:val="22"/>
                <w:szCs w:val="22"/>
              </w:rPr>
              <w:t>Target</w:t>
            </w:r>
          </w:p>
        </w:tc>
        <w:tc>
          <w:tcPr>
            <w:tcW w:w="915" w:type="pct"/>
            <w:shd w:val="clear" w:color="auto" w:fill="D9D9D9" w:themeFill="background1" w:themeFillShade="D9"/>
          </w:tcPr>
          <w:p w14:paraId="5C349F45" w14:textId="3E3C2DE2" w:rsidR="001241B7" w:rsidRPr="00385F08" w:rsidRDefault="00C66BDA" w:rsidP="00D118F7">
            <w:pPr>
              <w:spacing w:after="0"/>
              <w:rPr>
                <w:rFonts w:asciiTheme="minorHAnsi" w:hAnsiTheme="minorHAnsi" w:cstheme="minorHAnsi"/>
                <w:b/>
                <w:sz w:val="22"/>
                <w:szCs w:val="22"/>
              </w:rPr>
            </w:pPr>
            <w:r>
              <w:rPr>
                <w:rFonts w:asciiTheme="minorHAnsi" w:hAnsiTheme="minorHAnsi" w:cstheme="minorHAnsi"/>
                <w:b/>
                <w:sz w:val="22"/>
                <w:szCs w:val="22"/>
              </w:rPr>
              <w:t>Type of</w:t>
            </w:r>
            <w:r w:rsidR="001241B7">
              <w:rPr>
                <w:rFonts w:asciiTheme="minorHAnsi" w:hAnsiTheme="minorHAnsi" w:cstheme="minorHAnsi"/>
                <w:b/>
                <w:sz w:val="22"/>
                <w:szCs w:val="22"/>
              </w:rPr>
              <w:t xml:space="preserve"> interest</w:t>
            </w:r>
            <w:bookmarkStart w:id="5" w:name="_Ref195192106"/>
            <w:r w:rsidR="007A53AA">
              <w:rPr>
                <w:rStyle w:val="FootnoteReference"/>
                <w:rFonts w:asciiTheme="minorHAnsi" w:hAnsiTheme="minorHAnsi"/>
                <w:b/>
                <w:sz w:val="22"/>
                <w:szCs w:val="22"/>
              </w:rPr>
              <w:footnoteReference w:id="9"/>
            </w:r>
            <w:bookmarkEnd w:id="5"/>
          </w:p>
        </w:tc>
        <w:tc>
          <w:tcPr>
            <w:tcW w:w="1551" w:type="pct"/>
            <w:shd w:val="clear" w:color="auto" w:fill="D9D9D9" w:themeFill="background1" w:themeFillShade="D9"/>
            <w:tcMar>
              <w:top w:w="120" w:type="dxa"/>
              <w:left w:w="120" w:type="dxa"/>
              <w:bottom w:w="120" w:type="dxa"/>
              <w:right w:w="120" w:type="dxa"/>
            </w:tcMar>
            <w:vAlign w:val="center"/>
            <w:hideMark/>
          </w:tcPr>
          <w:p w14:paraId="2D643332" w14:textId="112AD949" w:rsidR="001241B7" w:rsidRPr="00385F08" w:rsidRDefault="0061374D" w:rsidP="00D118F7">
            <w:pPr>
              <w:spacing w:after="0"/>
              <w:rPr>
                <w:rFonts w:asciiTheme="minorHAnsi" w:hAnsiTheme="minorHAnsi" w:cstheme="minorHAnsi"/>
                <w:b/>
                <w:sz w:val="22"/>
                <w:szCs w:val="22"/>
              </w:rPr>
            </w:pPr>
            <w:r>
              <w:rPr>
                <w:rFonts w:asciiTheme="minorHAnsi" w:hAnsiTheme="minorHAnsi" w:cstheme="minorHAnsi"/>
                <w:b/>
                <w:sz w:val="22"/>
                <w:szCs w:val="22"/>
              </w:rPr>
              <w:t>Monetary t</w:t>
            </w:r>
            <w:r w:rsidR="001241B7" w:rsidRPr="00385F08">
              <w:rPr>
                <w:rFonts w:asciiTheme="minorHAnsi" w:hAnsiTheme="minorHAnsi" w:cstheme="minorHAnsi"/>
                <w:b/>
                <w:sz w:val="22"/>
                <w:szCs w:val="22"/>
              </w:rPr>
              <w:t>hreshold</w:t>
            </w:r>
          </w:p>
        </w:tc>
      </w:tr>
      <w:tr w:rsidR="003F1605" w:rsidRPr="00385F08" w14:paraId="44E15A10" w14:textId="77777777" w:rsidTr="00F7716A">
        <w:tc>
          <w:tcPr>
            <w:tcW w:w="1004" w:type="pct"/>
            <w:vMerge w:val="restart"/>
            <w:tcMar>
              <w:top w:w="120" w:type="dxa"/>
              <w:left w:w="120" w:type="dxa"/>
              <w:bottom w:w="120" w:type="dxa"/>
              <w:right w:w="120" w:type="dxa"/>
            </w:tcMar>
            <w:vAlign w:val="center"/>
            <w:hideMark/>
          </w:tcPr>
          <w:p w14:paraId="138E6D5F" w14:textId="5E10A4F5" w:rsidR="001C1814" w:rsidRPr="00385F08" w:rsidRDefault="001C1814" w:rsidP="00D118F7">
            <w:pPr>
              <w:spacing w:after="0"/>
              <w:rPr>
                <w:rFonts w:asciiTheme="minorHAnsi" w:hAnsiTheme="minorHAnsi" w:cstheme="minorHAnsi"/>
                <w:b/>
                <w:sz w:val="22"/>
                <w:szCs w:val="22"/>
              </w:rPr>
            </w:pPr>
            <w:r w:rsidRPr="00385F08">
              <w:rPr>
                <w:rFonts w:asciiTheme="minorHAnsi" w:hAnsiTheme="minorHAnsi" w:cstheme="minorHAnsi"/>
                <w:b/>
                <w:sz w:val="22"/>
                <w:szCs w:val="22"/>
              </w:rPr>
              <w:t>All investors</w:t>
            </w:r>
          </w:p>
        </w:tc>
        <w:tc>
          <w:tcPr>
            <w:tcW w:w="1530" w:type="pct"/>
            <w:tcMar>
              <w:top w:w="120" w:type="dxa"/>
              <w:left w:w="120" w:type="dxa"/>
              <w:bottom w:w="120" w:type="dxa"/>
              <w:right w:w="120" w:type="dxa"/>
            </w:tcMar>
            <w:vAlign w:val="center"/>
            <w:hideMark/>
          </w:tcPr>
          <w:p w14:paraId="5A0683D1" w14:textId="72AD3474" w:rsidR="001C1814" w:rsidRPr="00385F08" w:rsidRDefault="001C1814" w:rsidP="00D118F7">
            <w:pPr>
              <w:spacing w:after="0"/>
              <w:rPr>
                <w:rFonts w:asciiTheme="minorHAnsi" w:hAnsiTheme="minorHAnsi" w:cstheme="minorHAnsi"/>
                <w:sz w:val="22"/>
                <w:szCs w:val="22"/>
              </w:rPr>
            </w:pPr>
            <w:r w:rsidRPr="00385F08">
              <w:rPr>
                <w:rFonts w:asciiTheme="minorHAnsi" w:hAnsiTheme="minorHAnsi" w:cstheme="minorHAnsi"/>
                <w:sz w:val="22"/>
                <w:szCs w:val="22"/>
              </w:rPr>
              <w:t>National security businesses</w:t>
            </w:r>
            <w:r w:rsidR="00145EF8">
              <w:rPr>
                <w:rFonts w:asciiTheme="minorHAnsi" w:hAnsiTheme="minorHAnsi" w:cstheme="minorHAnsi"/>
                <w:sz w:val="22"/>
                <w:szCs w:val="22"/>
              </w:rPr>
              <w:t xml:space="preserve"> / entities carrying on a national security business</w:t>
            </w:r>
          </w:p>
        </w:tc>
        <w:tc>
          <w:tcPr>
            <w:tcW w:w="915" w:type="pct"/>
            <w:vAlign w:val="center"/>
          </w:tcPr>
          <w:p w14:paraId="435BBDDC" w14:textId="33DE7433" w:rsidR="001C1814" w:rsidRPr="003A5712" w:rsidRDefault="00401121" w:rsidP="000C5E6D">
            <w:pPr>
              <w:spacing w:after="0"/>
              <w:rPr>
                <w:rFonts w:asciiTheme="minorHAnsi" w:hAnsiTheme="minorHAnsi" w:cstheme="minorHAnsi"/>
                <w:sz w:val="22"/>
                <w:szCs w:val="22"/>
              </w:rPr>
            </w:pPr>
            <w:r>
              <w:rPr>
                <w:sz w:val="22"/>
                <w:szCs w:val="22"/>
              </w:rPr>
              <w:t xml:space="preserve">Direct </w:t>
            </w:r>
            <w:r w:rsidR="00CD0595">
              <w:rPr>
                <w:sz w:val="22"/>
                <w:szCs w:val="22"/>
              </w:rPr>
              <w:t>i</w:t>
            </w:r>
            <w:r>
              <w:rPr>
                <w:sz w:val="22"/>
                <w:szCs w:val="22"/>
              </w:rPr>
              <w:t>nterest (</w:t>
            </w:r>
            <w:r w:rsidR="00726E4B">
              <w:rPr>
                <w:sz w:val="22"/>
                <w:szCs w:val="22"/>
              </w:rPr>
              <w:t xml:space="preserve">generally </w:t>
            </w:r>
            <w:r w:rsidR="001C1814">
              <w:rPr>
                <w:sz w:val="22"/>
                <w:szCs w:val="22"/>
              </w:rPr>
              <w:t>10 per cent or more</w:t>
            </w:r>
            <w:r>
              <w:rPr>
                <w:sz w:val="22"/>
                <w:szCs w:val="22"/>
              </w:rPr>
              <w:t>)</w:t>
            </w:r>
            <w:bookmarkStart w:id="6" w:name="_Ref194400754"/>
            <w:r w:rsidR="001C1814" w:rsidRPr="003976F6">
              <w:rPr>
                <w:rStyle w:val="FootnoteReference"/>
                <w:sz w:val="22"/>
                <w:szCs w:val="22"/>
              </w:rPr>
              <w:footnoteReference w:id="10"/>
            </w:r>
            <w:bookmarkEnd w:id="6"/>
          </w:p>
        </w:tc>
        <w:tc>
          <w:tcPr>
            <w:tcW w:w="1551" w:type="pct"/>
            <w:vMerge w:val="restart"/>
            <w:tcMar>
              <w:top w:w="120" w:type="dxa"/>
              <w:left w:w="120" w:type="dxa"/>
              <w:bottom w:w="120" w:type="dxa"/>
              <w:right w:w="120" w:type="dxa"/>
            </w:tcMar>
            <w:vAlign w:val="center"/>
            <w:hideMark/>
          </w:tcPr>
          <w:p w14:paraId="46FBCC81" w14:textId="324D0C72" w:rsidR="001C1814" w:rsidRPr="00385F08" w:rsidRDefault="001C1814" w:rsidP="00D118F7">
            <w:pPr>
              <w:spacing w:after="0"/>
              <w:rPr>
                <w:rFonts w:asciiTheme="minorHAnsi" w:hAnsiTheme="minorHAnsi" w:cstheme="minorHAnsi"/>
                <w:sz w:val="22"/>
                <w:szCs w:val="22"/>
              </w:rPr>
            </w:pPr>
            <w:r w:rsidRPr="00385F08">
              <w:rPr>
                <w:rFonts w:asciiTheme="minorHAnsi" w:hAnsiTheme="minorHAnsi" w:cstheme="minorHAnsi"/>
                <w:sz w:val="22"/>
                <w:szCs w:val="22"/>
              </w:rPr>
              <w:t>$0</w:t>
            </w:r>
            <w:r>
              <w:rPr>
                <w:rFonts w:asciiTheme="minorHAnsi" w:hAnsiTheme="minorHAnsi" w:cstheme="minorHAnsi"/>
                <w:sz w:val="22"/>
                <w:szCs w:val="22"/>
              </w:rPr>
              <w:t xml:space="preserve"> or more</w:t>
            </w:r>
          </w:p>
        </w:tc>
      </w:tr>
      <w:tr w:rsidR="003F1605" w:rsidRPr="00385F08" w14:paraId="609D2E4B" w14:textId="77777777" w:rsidTr="00F7716A">
        <w:tc>
          <w:tcPr>
            <w:tcW w:w="1004" w:type="pct"/>
            <w:vMerge/>
            <w:vAlign w:val="center"/>
            <w:hideMark/>
          </w:tcPr>
          <w:p w14:paraId="1448F28E" w14:textId="77777777" w:rsidR="001C1814" w:rsidRPr="00385F08" w:rsidRDefault="001C1814" w:rsidP="00D118F7">
            <w:pPr>
              <w:spacing w:after="0"/>
              <w:rPr>
                <w:rFonts w:asciiTheme="minorHAnsi" w:hAnsiTheme="minorHAnsi" w:cstheme="minorHAnsi"/>
                <w:b/>
                <w:sz w:val="22"/>
                <w:szCs w:val="22"/>
                <w:lang w:eastAsia="en-US"/>
              </w:rPr>
            </w:pPr>
          </w:p>
        </w:tc>
        <w:tc>
          <w:tcPr>
            <w:tcW w:w="1530" w:type="pct"/>
            <w:tcMar>
              <w:top w:w="120" w:type="dxa"/>
              <w:left w:w="120" w:type="dxa"/>
              <w:bottom w:w="120" w:type="dxa"/>
              <w:right w:w="120" w:type="dxa"/>
            </w:tcMar>
            <w:vAlign w:val="center"/>
            <w:hideMark/>
          </w:tcPr>
          <w:p w14:paraId="4D8DE3CA" w14:textId="58CD7887" w:rsidR="001C1814" w:rsidRPr="00385F08" w:rsidRDefault="001C1814" w:rsidP="00D118F7">
            <w:pPr>
              <w:spacing w:after="0"/>
              <w:rPr>
                <w:rFonts w:asciiTheme="minorHAnsi" w:hAnsiTheme="minorHAnsi" w:cstheme="minorHAnsi"/>
                <w:sz w:val="22"/>
                <w:szCs w:val="22"/>
              </w:rPr>
            </w:pPr>
            <w:r w:rsidRPr="00385F08">
              <w:rPr>
                <w:rFonts w:asciiTheme="minorHAnsi" w:hAnsiTheme="minorHAnsi" w:cstheme="minorHAnsi"/>
                <w:sz w:val="22"/>
                <w:szCs w:val="22"/>
              </w:rPr>
              <w:t>Australian media businesses</w:t>
            </w:r>
            <w:r w:rsidR="00F05D44">
              <w:rPr>
                <w:rFonts w:asciiTheme="minorHAnsi" w:hAnsiTheme="minorHAnsi" w:cstheme="minorHAnsi"/>
                <w:sz w:val="22"/>
                <w:szCs w:val="22"/>
              </w:rPr>
              <w:t xml:space="preserve"> / entities carrying on an </w:t>
            </w:r>
            <w:r w:rsidR="00F05D44" w:rsidRPr="00385F08">
              <w:rPr>
                <w:rFonts w:asciiTheme="minorHAnsi" w:hAnsiTheme="minorHAnsi" w:cstheme="minorHAnsi"/>
                <w:sz w:val="22"/>
                <w:szCs w:val="22"/>
              </w:rPr>
              <w:t>Australian media business</w:t>
            </w:r>
          </w:p>
        </w:tc>
        <w:tc>
          <w:tcPr>
            <w:tcW w:w="915" w:type="pct"/>
            <w:vAlign w:val="center"/>
          </w:tcPr>
          <w:p w14:paraId="66E70DB6" w14:textId="27FFFC7F" w:rsidR="001C1814" w:rsidRPr="003A5712" w:rsidRDefault="001C1814" w:rsidP="000C5E6D">
            <w:pPr>
              <w:spacing w:after="0"/>
              <w:rPr>
                <w:rFonts w:asciiTheme="minorHAnsi" w:hAnsiTheme="minorHAnsi" w:cstheme="minorHAnsi"/>
                <w:sz w:val="22"/>
                <w:szCs w:val="22"/>
              </w:rPr>
            </w:pPr>
          </w:p>
        </w:tc>
        <w:tc>
          <w:tcPr>
            <w:tcW w:w="1551" w:type="pct"/>
            <w:vMerge/>
            <w:tcMar>
              <w:top w:w="120" w:type="dxa"/>
              <w:left w:w="120" w:type="dxa"/>
              <w:bottom w:w="120" w:type="dxa"/>
              <w:right w:w="120" w:type="dxa"/>
            </w:tcMar>
            <w:vAlign w:val="center"/>
            <w:hideMark/>
          </w:tcPr>
          <w:p w14:paraId="57688AAF" w14:textId="1BFCB106" w:rsidR="001C1814" w:rsidRPr="00385F08" w:rsidRDefault="001C1814" w:rsidP="00D118F7">
            <w:pPr>
              <w:spacing w:after="0"/>
              <w:rPr>
                <w:rFonts w:asciiTheme="minorHAnsi" w:hAnsiTheme="minorHAnsi" w:cstheme="minorHAnsi"/>
                <w:sz w:val="22"/>
                <w:szCs w:val="22"/>
              </w:rPr>
            </w:pPr>
          </w:p>
        </w:tc>
      </w:tr>
      <w:tr w:rsidR="00B861BD" w:rsidRPr="00385F08" w14:paraId="1BE314CE" w14:textId="77777777" w:rsidTr="00F7716A">
        <w:tc>
          <w:tcPr>
            <w:tcW w:w="1004" w:type="pct"/>
            <w:vMerge/>
            <w:vAlign w:val="center"/>
          </w:tcPr>
          <w:p w14:paraId="57F76BED" w14:textId="77777777" w:rsidR="00B861BD" w:rsidRPr="00385F08" w:rsidRDefault="00B861BD" w:rsidP="00D118F7">
            <w:pPr>
              <w:spacing w:after="0"/>
              <w:rPr>
                <w:rFonts w:asciiTheme="minorHAnsi" w:hAnsiTheme="minorHAnsi" w:cstheme="minorHAnsi"/>
                <w:b/>
                <w:sz w:val="22"/>
                <w:szCs w:val="22"/>
                <w:lang w:eastAsia="en-US"/>
              </w:rPr>
            </w:pPr>
          </w:p>
        </w:tc>
        <w:tc>
          <w:tcPr>
            <w:tcW w:w="1530" w:type="pct"/>
            <w:tcMar>
              <w:top w:w="120" w:type="dxa"/>
              <w:left w:w="120" w:type="dxa"/>
              <w:bottom w:w="120" w:type="dxa"/>
              <w:right w:w="120" w:type="dxa"/>
            </w:tcMar>
            <w:vAlign w:val="center"/>
          </w:tcPr>
          <w:p w14:paraId="49F44015" w14:textId="60AE50DE" w:rsidR="00B861BD" w:rsidRDefault="00B92A50" w:rsidP="00D118F7">
            <w:pPr>
              <w:spacing w:after="0"/>
              <w:rPr>
                <w:rFonts w:asciiTheme="minorHAnsi" w:hAnsiTheme="minorHAnsi" w:cstheme="minorHAnsi"/>
                <w:sz w:val="22"/>
                <w:szCs w:val="22"/>
              </w:rPr>
            </w:pPr>
            <w:r>
              <w:rPr>
                <w:rFonts w:asciiTheme="minorHAnsi" w:hAnsiTheme="minorHAnsi" w:cstheme="minorHAnsi"/>
                <w:sz w:val="22"/>
                <w:szCs w:val="22"/>
              </w:rPr>
              <w:t>Starting a national security business</w:t>
            </w:r>
          </w:p>
        </w:tc>
        <w:tc>
          <w:tcPr>
            <w:tcW w:w="915" w:type="pct"/>
            <w:vAlign w:val="center"/>
          </w:tcPr>
          <w:p w14:paraId="3A4B4F6E" w14:textId="383CA3D7" w:rsidR="00B861BD" w:rsidRDefault="00B92A50" w:rsidP="00D45780">
            <w:pPr>
              <w:spacing w:after="0"/>
              <w:rPr>
                <w:rFonts w:asciiTheme="minorHAnsi" w:hAnsiTheme="minorHAnsi" w:cstheme="minorHAnsi"/>
                <w:sz w:val="22"/>
                <w:szCs w:val="22"/>
              </w:rPr>
            </w:pPr>
            <w:r>
              <w:rPr>
                <w:rFonts w:asciiTheme="minorHAnsi" w:hAnsiTheme="minorHAnsi" w:cstheme="minorHAnsi"/>
                <w:sz w:val="22"/>
                <w:szCs w:val="22"/>
              </w:rPr>
              <w:t>N/A</w:t>
            </w:r>
          </w:p>
        </w:tc>
        <w:tc>
          <w:tcPr>
            <w:tcW w:w="1551" w:type="pct"/>
            <w:tcMar>
              <w:top w:w="120" w:type="dxa"/>
              <w:left w:w="120" w:type="dxa"/>
              <w:bottom w:w="120" w:type="dxa"/>
              <w:right w:w="120" w:type="dxa"/>
            </w:tcMar>
            <w:vAlign w:val="center"/>
          </w:tcPr>
          <w:p w14:paraId="7632F4B7" w14:textId="3AFF37A3" w:rsidR="00B861BD" w:rsidRDefault="00B92A50" w:rsidP="00D118F7">
            <w:pPr>
              <w:spacing w:after="0"/>
              <w:rPr>
                <w:rFonts w:asciiTheme="minorHAnsi" w:hAnsiTheme="minorHAnsi" w:cstheme="minorHAnsi"/>
                <w:sz w:val="22"/>
                <w:szCs w:val="22"/>
              </w:rPr>
            </w:pPr>
            <w:r>
              <w:rPr>
                <w:rFonts w:asciiTheme="minorHAnsi" w:hAnsiTheme="minorHAnsi" w:cstheme="minorHAnsi"/>
                <w:sz w:val="22"/>
                <w:szCs w:val="22"/>
              </w:rPr>
              <w:t>N/A</w:t>
            </w:r>
          </w:p>
        </w:tc>
      </w:tr>
      <w:tr w:rsidR="001C1814" w:rsidRPr="00385F08" w14:paraId="0D230409" w14:textId="77777777" w:rsidTr="00F7716A">
        <w:tc>
          <w:tcPr>
            <w:tcW w:w="1004" w:type="pct"/>
            <w:vMerge/>
            <w:vAlign w:val="center"/>
          </w:tcPr>
          <w:p w14:paraId="4CED5F2B" w14:textId="77777777" w:rsidR="001C1814" w:rsidRPr="00385F08" w:rsidRDefault="001C1814" w:rsidP="00D118F7">
            <w:pPr>
              <w:spacing w:after="0"/>
              <w:rPr>
                <w:rFonts w:asciiTheme="minorHAnsi" w:hAnsiTheme="minorHAnsi" w:cstheme="minorHAnsi"/>
                <w:b/>
                <w:sz w:val="22"/>
                <w:szCs w:val="22"/>
                <w:lang w:eastAsia="en-US"/>
              </w:rPr>
            </w:pPr>
          </w:p>
        </w:tc>
        <w:tc>
          <w:tcPr>
            <w:tcW w:w="1530" w:type="pct"/>
            <w:tcMar>
              <w:top w:w="120" w:type="dxa"/>
              <w:left w:w="120" w:type="dxa"/>
              <w:bottom w:w="120" w:type="dxa"/>
              <w:right w:w="120" w:type="dxa"/>
            </w:tcMar>
            <w:vAlign w:val="center"/>
          </w:tcPr>
          <w:p w14:paraId="4968DB76" w14:textId="69E7F70A" w:rsidR="001C1814" w:rsidRPr="00385F08" w:rsidRDefault="001C1814" w:rsidP="00D118F7">
            <w:pPr>
              <w:spacing w:after="0"/>
              <w:rPr>
                <w:rFonts w:asciiTheme="minorHAnsi" w:hAnsiTheme="minorHAnsi" w:cstheme="minorHAnsi"/>
                <w:sz w:val="22"/>
                <w:szCs w:val="22"/>
              </w:rPr>
            </w:pPr>
            <w:r>
              <w:rPr>
                <w:rFonts w:asciiTheme="minorHAnsi" w:hAnsiTheme="minorHAnsi" w:cstheme="minorHAnsi"/>
                <w:sz w:val="22"/>
                <w:szCs w:val="22"/>
              </w:rPr>
              <w:t>Exploration tenements over national security land</w:t>
            </w:r>
          </w:p>
        </w:tc>
        <w:tc>
          <w:tcPr>
            <w:tcW w:w="915" w:type="pct"/>
            <w:vAlign w:val="center"/>
          </w:tcPr>
          <w:p w14:paraId="56B81023" w14:textId="2C7F2225" w:rsidR="001C1814" w:rsidRPr="003A5712" w:rsidRDefault="001C1814" w:rsidP="00D45780">
            <w:pPr>
              <w:spacing w:after="0"/>
              <w:rPr>
                <w:rFonts w:asciiTheme="minorHAnsi" w:hAnsiTheme="minorHAnsi" w:cstheme="minorHAnsi"/>
                <w:sz w:val="22"/>
                <w:szCs w:val="22"/>
              </w:rPr>
            </w:pPr>
            <w:r>
              <w:rPr>
                <w:rFonts w:asciiTheme="minorHAnsi" w:hAnsiTheme="minorHAnsi" w:cstheme="minorHAnsi"/>
                <w:sz w:val="22"/>
                <w:szCs w:val="22"/>
              </w:rPr>
              <w:t>Any</w:t>
            </w:r>
            <w:r>
              <w:rPr>
                <w:rStyle w:val="FootnoteReference"/>
                <w:rFonts w:asciiTheme="minorHAnsi" w:hAnsiTheme="minorHAnsi"/>
                <w:sz w:val="22"/>
                <w:szCs w:val="22"/>
              </w:rPr>
              <w:footnoteReference w:id="11"/>
            </w:r>
          </w:p>
        </w:tc>
        <w:tc>
          <w:tcPr>
            <w:tcW w:w="1551" w:type="pct"/>
            <w:tcMar>
              <w:top w:w="120" w:type="dxa"/>
              <w:left w:w="120" w:type="dxa"/>
              <w:bottom w:w="120" w:type="dxa"/>
              <w:right w:w="120" w:type="dxa"/>
            </w:tcMar>
            <w:vAlign w:val="center"/>
          </w:tcPr>
          <w:p w14:paraId="6E4FF97C" w14:textId="56C60833" w:rsidR="001C1814" w:rsidRPr="00385F08" w:rsidRDefault="001C1814" w:rsidP="00D118F7">
            <w:pPr>
              <w:spacing w:after="0"/>
              <w:rPr>
                <w:rFonts w:asciiTheme="minorHAnsi" w:hAnsiTheme="minorHAnsi" w:cstheme="minorHAnsi"/>
                <w:sz w:val="22"/>
                <w:szCs w:val="22"/>
              </w:rPr>
            </w:pPr>
            <w:r>
              <w:rPr>
                <w:rFonts w:asciiTheme="minorHAnsi" w:hAnsiTheme="minorHAnsi" w:cstheme="minorHAnsi"/>
                <w:sz w:val="22"/>
                <w:szCs w:val="22"/>
              </w:rPr>
              <w:t>$0 or more</w:t>
            </w:r>
          </w:p>
        </w:tc>
      </w:tr>
      <w:tr w:rsidR="008D7623" w:rsidRPr="00385F08" w14:paraId="1DBAA42F" w14:textId="77777777" w:rsidTr="00154846">
        <w:tc>
          <w:tcPr>
            <w:tcW w:w="1004" w:type="pct"/>
            <w:vMerge w:val="restart"/>
            <w:tcMar>
              <w:top w:w="120" w:type="dxa"/>
              <w:left w:w="120" w:type="dxa"/>
              <w:bottom w:w="120" w:type="dxa"/>
              <w:right w:w="120" w:type="dxa"/>
            </w:tcMar>
            <w:vAlign w:val="center"/>
            <w:hideMark/>
          </w:tcPr>
          <w:p w14:paraId="0905E178" w14:textId="20CAE149" w:rsidR="008D7623" w:rsidRPr="00385F08" w:rsidRDefault="008D7623" w:rsidP="00D118F7">
            <w:pPr>
              <w:spacing w:after="0"/>
              <w:rPr>
                <w:rFonts w:asciiTheme="minorHAnsi" w:hAnsiTheme="minorHAnsi" w:cstheme="minorHAnsi"/>
                <w:b/>
                <w:sz w:val="22"/>
                <w:szCs w:val="22"/>
              </w:rPr>
            </w:pPr>
            <w:r w:rsidRPr="00385F08">
              <w:rPr>
                <w:rFonts w:asciiTheme="minorHAnsi" w:hAnsiTheme="minorHAnsi" w:cstheme="minorHAnsi"/>
                <w:b/>
                <w:sz w:val="22"/>
                <w:szCs w:val="22"/>
              </w:rPr>
              <w:t>Private investors from certain FTA partners</w:t>
            </w:r>
            <w:r w:rsidRPr="00385F08">
              <w:rPr>
                <w:rStyle w:val="FootnoteReference"/>
                <w:rFonts w:asciiTheme="minorHAnsi" w:hAnsiTheme="minorHAnsi" w:cstheme="minorHAnsi"/>
                <w:b/>
                <w:sz w:val="22"/>
                <w:szCs w:val="22"/>
              </w:rPr>
              <w:footnoteReference w:id="12"/>
            </w:r>
          </w:p>
        </w:tc>
        <w:tc>
          <w:tcPr>
            <w:tcW w:w="1530" w:type="pct"/>
            <w:tcMar>
              <w:top w:w="120" w:type="dxa"/>
              <w:left w:w="120" w:type="dxa"/>
              <w:bottom w:w="120" w:type="dxa"/>
              <w:right w:w="120" w:type="dxa"/>
            </w:tcMar>
            <w:vAlign w:val="center"/>
            <w:hideMark/>
          </w:tcPr>
          <w:p w14:paraId="41A7737D" w14:textId="3698BF42" w:rsidR="008D7623" w:rsidRPr="00A62732" w:rsidRDefault="00401121" w:rsidP="00D118F7">
            <w:pPr>
              <w:spacing w:after="0"/>
              <w:rPr>
                <w:rFonts w:asciiTheme="minorHAnsi" w:hAnsiTheme="minorHAnsi" w:cstheme="minorHAnsi"/>
                <w:sz w:val="22"/>
                <w:szCs w:val="22"/>
                <w:vertAlign w:val="superscript"/>
              </w:rPr>
            </w:pPr>
            <w:r>
              <w:rPr>
                <w:rFonts w:asciiTheme="minorHAnsi" w:hAnsiTheme="minorHAnsi" w:cstheme="minorHAnsi"/>
                <w:sz w:val="22"/>
                <w:szCs w:val="22"/>
              </w:rPr>
              <w:t xml:space="preserve">Entities not </w:t>
            </w:r>
            <w:r w:rsidR="000D4784">
              <w:rPr>
                <w:rFonts w:asciiTheme="minorHAnsi" w:hAnsiTheme="minorHAnsi" w:cstheme="minorHAnsi"/>
                <w:sz w:val="22"/>
                <w:szCs w:val="22"/>
              </w:rPr>
              <w:t>carrying on a</w:t>
            </w:r>
            <w:r>
              <w:rPr>
                <w:rFonts w:asciiTheme="minorHAnsi" w:hAnsiTheme="minorHAnsi" w:cstheme="minorHAnsi"/>
                <w:sz w:val="22"/>
                <w:szCs w:val="22"/>
              </w:rPr>
              <w:t xml:space="preserve"> sensitive business</w:t>
            </w:r>
          </w:p>
        </w:tc>
        <w:tc>
          <w:tcPr>
            <w:tcW w:w="915" w:type="pct"/>
            <w:vMerge w:val="restart"/>
            <w:vAlign w:val="center"/>
          </w:tcPr>
          <w:p w14:paraId="01F64E72" w14:textId="74B1CC76" w:rsidR="008D7623" w:rsidRPr="00A62732" w:rsidRDefault="00401121" w:rsidP="00D45780">
            <w:pPr>
              <w:spacing w:after="0"/>
              <w:rPr>
                <w:rFonts w:asciiTheme="minorHAnsi" w:hAnsiTheme="minorHAnsi" w:cstheme="minorHAnsi"/>
                <w:sz w:val="22"/>
                <w:szCs w:val="22"/>
              </w:rPr>
            </w:pPr>
            <w:r>
              <w:rPr>
                <w:rFonts w:asciiTheme="minorHAnsi" w:hAnsiTheme="minorHAnsi" w:cstheme="minorHAnsi"/>
                <w:sz w:val="22"/>
                <w:szCs w:val="22"/>
              </w:rPr>
              <w:t xml:space="preserve">Substantial </w:t>
            </w:r>
            <w:r w:rsidR="00CD0595">
              <w:rPr>
                <w:rFonts w:asciiTheme="minorHAnsi" w:hAnsiTheme="minorHAnsi" w:cstheme="minorHAnsi"/>
                <w:sz w:val="22"/>
                <w:szCs w:val="22"/>
              </w:rPr>
              <w:t>i</w:t>
            </w:r>
            <w:r>
              <w:rPr>
                <w:rFonts w:asciiTheme="minorHAnsi" w:hAnsiTheme="minorHAnsi" w:cstheme="minorHAnsi"/>
                <w:sz w:val="22"/>
                <w:szCs w:val="22"/>
              </w:rPr>
              <w:t>nterest (</w:t>
            </w:r>
            <w:r w:rsidR="008D7623">
              <w:rPr>
                <w:rFonts w:asciiTheme="minorHAnsi" w:hAnsiTheme="minorHAnsi" w:cstheme="minorHAnsi"/>
                <w:sz w:val="22"/>
                <w:szCs w:val="22"/>
              </w:rPr>
              <w:t>20 per cent or more</w:t>
            </w:r>
            <w:r>
              <w:rPr>
                <w:rFonts w:asciiTheme="minorHAnsi" w:hAnsiTheme="minorHAnsi" w:cstheme="minorHAnsi"/>
                <w:sz w:val="22"/>
                <w:szCs w:val="22"/>
              </w:rPr>
              <w:t>)</w:t>
            </w:r>
            <w:r w:rsidR="008D7623">
              <w:rPr>
                <w:rStyle w:val="FootnoteReference"/>
                <w:rFonts w:asciiTheme="minorHAnsi" w:hAnsiTheme="minorHAnsi"/>
                <w:sz w:val="22"/>
                <w:szCs w:val="22"/>
              </w:rPr>
              <w:footnoteReference w:id="13"/>
            </w:r>
            <w:r w:rsidR="008D7623">
              <w:rPr>
                <w:rFonts w:asciiTheme="minorHAnsi" w:hAnsiTheme="minorHAnsi" w:cstheme="minorHAnsi"/>
                <w:sz w:val="22"/>
                <w:szCs w:val="22"/>
              </w:rPr>
              <w:t xml:space="preserve"> </w:t>
            </w:r>
          </w:p>
        </w:tc>
        <w:tc>
          <w:tcPr>
            <w:tcW w:w="1551" w:type="pct"/>
            <w:tcMar>
              <w:top w:w="120" w:type="dxa"/>
              <w:left w:w="120" w:type="dxa"/>
              <w:bottom w:w="120" w:type="dxa"/>
              <w:right w:w="120" w:type="dxa"/>
            </w:tcMar>
            <w:vAlign w:val="center"/>
          </w:tcPr>
          <w:p w14:paraId="50065368" w14:textId="1CEE0671" w:rsidR="008D7623" w:rsidRPr="00A62732" w:rsidRDefault="008D7623" w:rsidP="00D118F7">
            <w:pPr>
              <w:spacing w:after="0"/>
              <w:rPr>
                <w:rFonts w:asciiTheme="minorHAnsi" w:hAnsiTheme="minorHAnsi" w:cstheme="minorHAnsi"/>
                <w:sz w:val="22"/>
                <w:szCs w:val="22"/>
              </w:rPr>
            </w:pPr>
            <w:r>
              <w:rPr>
                <w:rFonts w:asciiTheme="minorHAnsi" w:hAnsiTheme="minorHAnsi" w:cstheme="minorHAnsi"/>
                <w:sz w:val="22"/>
                <w:szCs w:val="22"/>
              </w:rPr>
              <w:t xml:space="preserve">More than </w:t>
            </w:r>
            <w:r w:rsidRPr="00A62732">
              <w:rPr>
                <w:rFonts w:asciiTheme="minorHAnsi" w:hAnsiTheme="minorHAnsi" w:cstheme="minorHAnsi"/>
                <w:sz w:val="22"/>
                <w:szCs w:val="22"/>
              </w:rPr>
              <w:t>$1,</w:t>
            </w:r>
            <w:r>
              <w:rPr>
                <w:rFonts w:asciiTheme="minorHAnsi" w:hAnsiTheme="minorHAnsi" w:cstheme="minorHAnsi"/>
                <w:sz w:val="22"/>
                <w:szCs w:val="22"/>
              </w:rPr>
              <w:t>4</w:t>
            </w:r>
            <w:r w:rsidR="00E05E8C">
              <w:rPr>
                <w:rFonts w:asciiTheme="minorHAnsi" w:hAnsiTheme="minorHAnsi" w:cstheme="minorHAnsi"/>
                <w:sz w:val="22"/>
                <w:szCs w:val="22"/>
              </w:rPr>
              <w:t>98</w:t>
            </w:r>
            <w:r w:rsidRPr="00A62732">
              <w:rPr>
                <w:rFonts w:asciiTheme="minorHAnsi" w:hAnsiTheme="minorHAnsi" w:cstheme="minorHAnsi"/>
                <w:sz w:val="22"/>
                <w:szCs w:val="22"/>
              </w:rPr>
              <w:t xml:space="preserve"> million</w:t>
            </w:r>
          </w:p>
        </w:tc>
      </w:tr>
      <w:tr w:rsidR="008D7623" w:rsidRPr="00385F08" w14:paraId="335B854C" w14:textId="77777777" w:rsidTr="00154846">
        <w:tc>
          <w:tcPr>
            <w:tcW w:w="1004" w:type="pct"/>
            <w:vMerge/>
            <w:vAlign w:val="center"/>
            <w:hideMark/>
          </w:tcPr>
          <w:p w14:paraId="1C396C07" w14:textId="77777777" w:rsidR="008D7623" w:rsidRPr="00385F08" w:rsidRDefault="008D7623" w:rsidP="00D118F7">
            <w:pPr>
              <w:spacing w:after="0"/>
              <w:rPr>
                <w:rFonts w:asciiTheme="minorHAnsi" w:hAnsiTheme="minorHAnsi" w:cstheme="minorHAnsi"/>
                <w:b/>
                <w:sz w:val="22"/>
                <w:szCs w:val="22"/>
                <w:lang w:eastAsia="en-US"/>
              </w:rPr>
            </w:pPr>
          </w:p>
        </w:tc>
        <w:tc>
          <w:tcPr>
            <w:tcW w:w="1530" w:type="pct"/>
            <w:tcMar>
              <w:top w:w="120" w:type="dxa"/>
              <w:left w:w="120" w:type="dxa"/>
              <w:bottom w:w="120" w:type="dxa"/>
              <w:right w:w="120" w:type="dxa"/>
            </w:tcMar>
            <w:vAlign w:val="center"/>
            <w:hideMark/>
          </w:tcPr>
          <w:p w14:paraId="61F210EC" w14:textId="46A23D51" w:rsidR="008D7623" w:rsidRPr="00A62732" w:rsidRDefault="000D4784" w:rsidP="00D118F7">
            <w:pPr>
              <w:spacing w:after="0"/>
              <w:rPr>
                <w:rFonts w:asciiTheme="minorHAnsi" w:hAnsiTheme="minorHAnsi" w:cstheme="minorHAnsi"/>
                <w:sz w:val="22"/>
                <w:szCs w:val="22"/>
              </w:rPr>
            </w:pPr>
            <w:r>
              <w:rPr>
                <w:rFonts w:asciiTheme="minorHAnsi" w:hAnsiTheme="minorHAnsi" w:cstheme="minorHAnsi"/>
                <w:sz w:val="22"/>
                <w:szCs w:val="22"/>
              </w:rPr>
              <w:t>Entities carrying on a s</w:t>
            </w:r>
            <w:r w:rsidR="008D7623" w:rsidRPr="00A62732">
              <w:rPr>
                <w:rFonts w:asciiTheme="minorHAnsi" w:hAnsiTheme="minorHAnsi" w:cstheme="minorHAnsi"/>
                <w:sz w:val="22"/>
                <w:szCs w:val="22"/>
              </w:rPr>
              <w:t>ensitive business</w:t>
            </w:r>
            <w:bookmarkStart w:id="7" w:name="_Ref194400774"/>
            <w:r w:rsidR="008D7623" w:rsidRPr="00A62732">
              <w:rPr>
                <w:rFonts w:asciiTheme="minorHAnsi" w:hAnsiTheme="minorHAnsi" w:cstheme="minorHAnsi"/>
                <w:sz w:val="22"/>
                <w:szCs w:val="22"/>
                <w:vertAlign w:val="superscript"/>
              </w:rPr>
              <w:footnoteReference w:id="14"/>
            </w:r>
            <w:bookmarkEnd w:id="7"/>
          </w:p>
        </w:tc>
        <w:tc>
          <w:tcPr>
            <w:tcW w:w="915" w:type="pct"/>
            <w:vMerge/>
            <w:vAlign w:val="center"/>
          </w:tcPr>
          <w:p w14:paraId="73C10CFA" w14:textId="7E7DA877" w:rsidR="008D7623" w:rsidRPr="00A62732" w:rsidRDefault="008D7623" w:rsidP="00D45780">
            <w:pPr>
              <w:spacing w:after="0"/>
              <w:rPr>
                <w:rFonts w:asciiTheme="minorHAnsi" w:hAnsiTheme="minorHAnsi" w:cstheme="minorHAnsi"/>
                <w:sz w:val="22"/>
                <w:szCs w:val="22"/>
              </w:rPr>
            </w:pPr>
          </w:p>
        </w:tc>
        <w:tc>
          <w:tcPr>
            <w:tcW w:w="1551" w:type="pct"/>
            <w:tcMar>
              <w:top w:w="120" w:type="dxa"/>
              <w:left w:w="120" w:type="dxa"/>
              <w:bottom w:w="120" w:type="dxa"/>
              <w:right w:w="120" w:type="dxa"/>
            </w:tcMar>
            <w:vAlign w:val="center"/>
          </w:tcPr>
          <w:p w14:paraId="1E801969" w14:textId="5917267D" w:rsidR="008D7623" w:rsidRPr="00E55FB3" w:rsidRDefault="008D7623" w:rsidP="00D118F7">
            <w:pPr>
              <w:spacing w:after="0"/>
              <w:rPr>
                <w:rFonts w:asciiTheme="minorHAnsi" w:hAnsiTheme="minorHAnsi" w:cstheme="minorHAnsi"/>
                <w:sz w:val="22"/>
                <w:szCs w:val="22"/>
              </w:rPr>
            </w:pPr>
            <w:r w:rsidRPr="00E55FB3">
              <w:rPr>
                <w:rFonts w:asciiTheme="minorHAnsi" w:hAnsiTheme="minorHAnsi" w:cstheme="minorHAnsi"/>
                <w:sz w:val="22"/>
                <w:szCs w:val="22"/>
              </w:rPr>
              <w:t>More than $3</w:t>
            </w:r>
            <w:r w:rsidR="00E05E8C">
              <w:rPr>
                <w:rFonts w:asciiTheme="minorHAnsi" w:hAnsiTheme="minorHAnsi" w:cstheme="minorHAnsi"/>
                <w:sz w:val="22"/>
                <w:szCs w:val="22"/>
              </w:rPr>
              <w:t>47</w:t>
            </w:r>
            <w:r w:rsidRPr="00E55FB3">
              <w:rPr>
                <w:rFonts w:asciiTheme="minorHAnsi" w:hAnsiTheme="minorHAnsi" w:cstheme="minorHAnsi"/>
                <w:sz w:val="22"/>
                <w:szCs w:val="22"/>
              </w:rPr>
              <w:t xml:space="preserve"> million</w:t>
            </w:r>
          </w:p>
        </w:tc>
      </w:tr>
      <w:tr w:rsidR="003F1605" w:rsidRPr="00385F08" w14:paraId="676F1FD3" w14:textId="77777777" w:rsidTr="00F7716A">
        <w:trPr>
          <w:trHeight w:val="1074"/>
        </w:trPr>
        <w:tc>
          <w:tcPr>
            <w:tcW w:w="1004" w:type="pct"/>
            <w:vMerge/>
            <w:vAlign w:val="center"/>
            <w:hideMark/>
          </w:tcPr>
          <w:p w14:paraId="59157845" w14:textId="77777777" w:rsidR="00627C5F" w:rsidRPr="00385F08" w:rsidRDefault="00627C5F" w:rsidP="00D118F7">
            <w:pPr>
              <w:spacing w:after="0"/>
              <w:rPr>
                <w:rFonts w:asciiTheme="minorHAnsi" w:hAnsiTheme="minorHAnsi" w:cstheme="minorHAnsi"/>
                <w:b/>
                <w:sz w:val="22"/>
                <w:szCs w:val="22"/>
                <w:lang w:eastAsia="en-US"/>
              </w:rPr>
            </w:pPr>
          </w:p>
        </w:tc>
        <w:tc>
          <w:tcPr>
            <w:tcW w:w="1530" w:type="pct"/>
            <w:tcMar>
              <w:top w:w="120" w:type="dxa"/>
              <w:left w:w="120" w:type="dxa"/>
              <w:bottom w:w="120" w:type="dxa"/>
              <w:right w:w="120" w:type="dxa"/>
            </w:tcMar>
            <w:vAlign w:val="center"/>
            <w:hideMark/>
          </w:tcPr>
          <w:p w14:paraId="27B3C9BB" w14:textId="3BC381CF" w:rsidR="00627C5F" w:rsidRPr="00A62732" w:rsidRDefault="00627C5F" w:rsidP="00D118F7">
            <w:pPr>
              <w:spacing w:after="0"/>
              <w:rPr>
                <w:rFonts w:asciiTheme="minorHAnsi" w:hAnsiTheme="minorHAnsi" w:cstheme="minorHAnsi"/>
                <w:sz w:val="22"/>
                <w:szCs w:val="22"/>
              </w:rPr>
            </w:pPr>
            <w:r w:rsidRPr="00A62732">
              <w:rPr>
                <w:rFonts w:asciiTheme="minorHAnsi" w:hAnsiTheme="minorHAnsi" w:cstheme="minorHAnsi"/>
                <w:sz w:val="22"/>
                <w:szCs w:val="22"/>
              </w:rPr>
              <w:t>Agribusinesses</w:t>
            </w:r>
            <w:r>
              <w:rPr>
                <w:rFonts w:asciiTheme="minorHAnsi" w:hAnsiTheme="minorHAnsi" w:cstheme="minorHAnsi"/>
                <w:sz w:val="22"/>
                <w:szCs w:val="22"/>
              </w:rPr>
              <w:t xml:space="preserve"> (entities and businesses)</w:t>
            </w:r>
          </w:p>
        </w:tc>
        <w:tc>
          <w:tcPr>
            <w:tcW w:w="915" w:type="pct"/>
            <w:vAlign w:val="center"/>
          </w:tcPr>
          <w:p w14:paraId="52650E00" w14:textId="01FDA564" w:rsidR="00627C5F" w:rsidRPr="00A62732" w:rsidRDefault="00627C5F" w:rsidP="00D45780">
            <w:pPr>
              <w:spacing w:after="0"/>
              <w:rPr>
                <w:rFonts w:asciiTheme="minorHAnsi" w:hAnsiTheme="minorHAnsi" w:cstheme="minorHAnsi"/>
                <w:sz w:val="22"/>
                <w:szCs w:val="22"/>
              </w:rPr>
            </w:pPr>
            <w:r>
              <w:rPr>
                <w:rFonts w:asciiTheme="minorHAnsi" w:hAnsiTheme="minorHAnsi" w:cstheme="minorHAnsi"/>
                <w:sz w:val="22"/>
                <w:szCs w:val="22"/>
              </w:rPr>
              <w:t>Direct interest (</w:t>
            </w:r>
            <w:r>
              <w:rPr>
                <w:sz w:val="22"/>
                <w:szCs w:val="22"/>
              </w:rPr>
              <w:t>generally</w:t>
            </w:r>
            <w:r>
              <w:rPr>
                <w:rFonts w:asciiTheme="minorHAnsi" w:hAnsiTheme="minorHAnsi" w:cstheme="minorHAnsi"/>
                <w:sz w:val="22"/>
                <w:szCs w:val="22"/>
              </w:rPr>
              <w:t xml:space="preserve"> 10 per cent or more)</w:t>
            </w:r>
            <w:r w:rsidRPr="0054554A">
              <w:rPr>
                <w:rFonts w:asciiTheme="minorHAnsi" w:hAnsiTheme="minorHAnsi" w:cstheme="minorHAnsi"/>
                <w:sz w:val="22"/>
                <w:szCs w:val="22"/>
                <w:vertAlign w:val="superscript"/>
              </w:rPr>
              <w:fldChar w:fldCharType="begin"/>
            </w:r>
            <w:r w:rsidRPr="0054554A">
              <w:rPr>
                <w:rFonts w:asciiTheme="minorHAnsi" w:hAnsiTheme="minorHAnsi" w:cstheme="minorHAnsi"/>
                <w:sz w:val="22"/>
                <w:szCs w:val="22"/>
                <w:vertAlign w:val="superscript"/>
              </w:rPr>
              <w:instrText xml:space="preserve"> NOTEREF _Ref194400754 \h </w:instrText>
            </w:r>
            <w:r>
              <w:rPr>
                <w:rFonts w:asciiTheme="minorHAnsi" w:hAnsiTheme="minorHAnsi" w:cstheme="minorHAnsi"/>
                <w:sz w:val="22"/>
                <w:szCs w:val="22"/>
                <w:vertAlign w:val="superscript"/>
              </w:rPr>
              <w:instrText xml:space="preserve"> \* MERGEFORMAT </w:instrText>
            </w:r>
            <w:r w:rsidRPr="0054554A">
              <w:rPr>
                <w:rFonts w:asciiTheme="minorHAnsi" w:hAnsiTheme="minorHAnsi" w:cstheme="minorHAnsi"/>
                <w:sz w:val="22"/>
                <w:szCs w:val="22"/>
                <w:vertAlign w:val="superscript"/>
              </w:rPr>
            </w:r>
            <w:r w:rsidRPr="0054554A">
              <w:rPr>
                <w:rFonts w:asciiTheme="minorHAnsi" w:hAnsiTheme="minorHAnsi" w:cstheme="minorHAnsi"/>
                <w:sz w:val="22"/>
                <w:szCs w:val="22"/>
                <w:vertAlign w:val="superscript"/>
              </w:rPr>
              <w:fldChar w:fldCharType="separate"/>
            </w:r>
            <w:r w:rsidR="00683DBB">
              <w:rPr>
                <w:rFonts w:asciiTheme="minorHAnsi" w:hAnsiTheme="minorHAnsi" w:cstheme="minorHAnsi"/>
                <w:sz w:val="22"/>
                <w:szCs w:val="22"/>
                <w:vertAlign w:val="superscript"/>
              </w:rPr>
              <w:t>9</w:t>
            </w:r>
            <w:r w:rsidRPr="0054554A">
              <w:rPr>
                <w:rFonts w:asciiTheme="minorHAnsi" w:hAnsiTheme="minorHAnsi" w:cstheme="minorHAnsi"/>
                <w:sz w:val="22"/>
                <w:szCs w:val="22"/>
                <w:vertAlign w:val="superscript"/>
              </w:rPr>
              <w:fldChar w:fldCharType="end"/>
            </w:r>
          </w:p>
        </w:tc>
        <w:tc>
          <w:tcPr>
            <w:tcW w:w="1551" w:type="pct"/>
            <w:tcMar>
              <w:top w:w="120" w:type="dxa"/>
              <w:left w:w="120" w:type="dxa"/>
              <w:bottom w:w="120" w:type="dxa"/>
              <w:right w:w="120" w:type="dxa"/>
            </w:tcMar>
            <w:vAlign w:val="center"/>
          </w:tcPr>
          <w:p w14:paraId="374EDC88" w14:textId="41D3B9F7" w:rsidR="00627C5F" w:rsidRPr="00E55FB3" w:rsidRDefault="00627C5F" w:rsidP="00627C5F">
            <w:pPr>
              <w:spacing w:after="0"/>
              <w:rPr>
                <w:rFonts w:asciiTheme="minorHAnsi" w:hAnsiTheme="minorHAnsi" w:cstheme="minorHAnsi"/>
                <w:sz w:val="22"/>
                <w:szCs w:val="22"/>
              </w:rPr>
            </w:pPr>
            <w:r>
              <w:rPr>
                <w:rFonts w:asciiTheme="minorHAnsi" w:hAnsiTheme="minorHAnsi" w:cstheme="minorHAnsi"/>
                <w:sz w:val="22"/>
                <w:szCs w:val="22"/>
              </w:rPr>
              <w:t>M</w:t>
            </w:r>
            <w:r w:rsidRPr="00B00C34">
              <w:rPr>
                <w:rFonts w:cstheme="minorHAnsi"/>
                <w:sz w:val="22"/>
                <w:szCs w:val="22"/>
              </w:rPr>
              <w:t>ore than</w:t>
            </w:r>
            <w:r>
              <w:rPr>
                <w:rFonts w:cstheme="minorHAnsi"/>
                <w:sz w:val="22"/>
                <w:szCs w:val="22"/>
              </w:rPr>
              <w:t xml:space="preserve"> </w:t>
            </w:r>
            <w:r w:rsidRPr="00A62732">
              <w:rPr>
                <w:rFonts w:asciiTheme="minorHAnsi" w:hAnsiTheme="minorHAnsi" w:cstheme="minorHAnsi"/>
                <w:sz w:val="22"/>
                <w:szCs w:val="22"/>
              </w:rPr>
              <w:t>$</w:t>
            </w:r>
            <w:r>
              <w:rPr>
                <w:rFonts w:asciiTheme="minorHAnsi" w:hAnsiTheme="minorHAnsi" w:cstheme="minorHAnsi"/>
                <w:sz w:val="22"/>
                <w:szCs w:val="22"/>
              </w:rPr>
              <w:t>7</w:t>
            </w:r>
            <w:r w:rsidR="00735DF2">
              <w:rPr>
                <w:rFonts w:asciiTheme="minorHAnsi" w:hAnsiTheme="minorHAnsi" w:cstheme="minorHAnsi"/>
                <w:sz w:val="22"/>
                <w:szCs w:val="22"/>
              </w:rPr>
              <w:t>5</w:t>
            </w:r>
            <w:r w:rsidRPr="00A62732">
              <w:rPr>
                <w:rFonts w:asciiTheme="minorHAnsi" w:hAnsiTheme="minorHAnsi" w:cstheme="minorHAnsi"/>
                <w:sz w:val="22"/>
                <w:szCs w:val="22"/>
              </w:rPr>
              <w:t xml:space="preserve"> million </w:t>
            </w:r>
            <w:r w:rsidRPr="006E0664">
              <w:rPr>
                <w:rFonts w:asciiTheme="minorHAnsi" w:hAnsiTheme="minorHAnsi" w:cstheme="minorHAnsi"/>
                <w:sz w:val="22"/>
                <w:szCs w:val="22"/>
              </w:rPr>
              <w:t>(cumulative)</w:t>
            </w:r>
            <w:r w:rsidRPr="00A62732" w:rsidDel="00D51A7C">
              <w:rPr>
                <w:rFonts w:asciiTheme="minorHAnsi" w:hAnsiTheme="minorHAnsi" w:cstheme="minorHAnsi"/>
                <w:sz w:val="22"/>
                <w:szCs w:val="22"/>
              </w:rPr>
              <w:t xml:space="preserve"> </w:t>
            </w:r>
          </w:p>
        </w:tc>
      </w:tr>
      <w:tr w:rsidR="00401121" w:rsidRPr="00385F08" w14:paraId="24AD744E" w14:textId="77777777" w:rsidTr="00154846">
        <w:tc>
          <w:tcPr>
            <w:tcW w:w="1004" w:type="pct"/>
            <w:vMerge w:val="restart"/>
            <w:tcMar>
              <w:top w:w="120" w:type="dxa"/>
              <w:left w:w="120" w:type="dxa"/>
              <w:bottom w:w="120" w:type="dxa"/>
              <w:right w:w="120" w:type="dxa"/>
            </w:tcMar>
            <w:vAlign w:val="center"/>
            <w:hideMark/>
          </w:tcPr>
          <w:p w14:paraId="6C5E8E76" w14:textId="712059A0" w:rsidR="00401121" w:rsidRPr="00385F08" w:rsidRDefault="00401121" w:rsidP="00401121">
            <w:pPr>
              <w:spacing w:after="0"/>
              <w:rPr>
                <w:rFonts w:asciiTheme="minorHAnsi" w:hAnsiTheme="minorHAnsi" w:cstheme="minorHAnsi"/>
                <w:b/>
                <w:sz w:val="22"/>
                <w:szCs w:val="22"/>
              </w:rPr>
            </w:pPr>
            <w:r w:rsidRPr="00385F08">
              <w:rPr>
                <w:rFonts w:asciiTheme="minorHAnsi" w:hAnsiTheme="minorHAnsi" w:cstheme="minorHAnsi"/>
                <w:b/>
                <w:sz w:val="22"/>
                <w:szCs w:val="22"/>
              </w:rPr>
              <w:t>Private investors not</w:t>
            </w:r>
            <w:r w:rsidR="00F7716A">
              <w:rPr>
                <w:rFonts w:asciiTheme="minorHAnsi" w:hAnsiTheme="minorHAnsi" w:cstheme="minorHAnsi"/>
                <w:b/>
                <w:sz w:val="22"/>
                <w:szCs w:val="22"/>
              </w:rPr>
              <w:t xml:space="preserve"> </w:t>
            </w:r>
            <w:r w:rsidRPr="00385F08">
              <w:rPr>
                <w:rFonts w:asciiTheme="minorHAnsi" w:hAnsiTheme="minorHAnsi" w:cstheme="minorHAnsi"/>
                <w:b/>
                <w:sz w:val="22"/>
                <w:szCs w:val="22"/>
              </w:rPr>
              <w:t>from certain FTA partner</w:t>
            </w:r>
            <w:r w:rsidR="005F48AC">
              <w:rPr>
                <w:rFonts w:asciiTheme="minorHAnsi" w:hAnsiTheme="minorHAnsi" w:cstheme="minorHAnsi"/>
                <w:b/>
                <w:sz w:val="22"/>
                <w:szCs w:val="22"/>
              </w:rPr>
              <w:t>s</w:t>
            </w:r>
          </w:p>
        </w:tc>
        <w:tc>
          <w:tcPr>
            <w:tcW w:w="1530" w:type="pct"/>
            <w:tcMar>
              <w:top w:w="120" w:type="dxa"/>
              <w:left w:w="120" w:type="dxa"/>
              <w:bottom w:w="120" w:type="dxa"/>
              <w:right w:w="120" w:type="dxa"/>
            </w:tcMar>
            <w:vAlign w:val="center"/>
            <w:hideMark/>
          </w:tcPr>
          <w:p w14:paraId="028C2800" w14:textId="41B5C311" w:rsidR="00401121" w:rsidRPr="00A62732" w:rsidRDefault="00401121" w:rsidP="00401121">
            <w:pPr>
              <w:spacing w:after="0"/>
              <w:rPr>
                <w:rFonts w:asciiTheme="minorHAnsi" w:hAnsiTheme="minorHAnsi" w:cstheme="minorHAnsi"/>
                <w:sz w:val="22"/>
                <w:szCs w:val="22"/>
              </w:rPr>
            </w:pPr>
            <w:r>
              <w:rPr>
                <w:rFonts w:asciiTheme="minorHAnsi" w:hAnsiTheme="minorHAnsi" w:cstheme="minorHAnsi"/>
                <w:sz w:val="22"/>
                <w:szCs w:val="22"/>
              </w:rPr>
              <w:t>Entities</w:t>
            </w:r>
            <w:r w:rsidRPr="00A62732">
              <w:rPr>
                <w:rFonts w:asciiTheme="minorHAnsi" w:hAnsiTheme="minorHAnsi" w:cstheme="minorHAnsi"/>
                <w:sz w:val="22"/>
                <w:szCs w:val="22"/>
              </w:rPr>
              <w:t xml:space="preserve"> (</w:t>
            </w:r>
            <w:r w:rsidR="00BD3821">
              <w:rPr>
                <w:rFonts w:asciiTheme="minorHAnsi" w:hAnsiTheme="minorHAnsi" w:cstheme="minorHAnsi"/>
                <w:sz w:val="22"/>
                <w:szCs w:val="22"/>
              </w:rPr>
              <w:t xml:space="preserve">carrying on </w:t>
            </w:r>
            <w:r>
              <w:rPr>
                <w:rFonts w:asciiTheme="minorHAnsi" w:hAnsiTheme="minorHAnsi" w:cstheme="minorHAnsi"/>
                <w:sz w:val="22"/>
                <w:szCs w:val="22"/>
              </w:rPr>
              <w:t>sensitive</w:t>
            </w:r>
            <w:r w:rsidR="00BD3821">
              <w:rPr>
                <w:rFonts w:asciiTheme="minorHAnsi" w:hAnsiTheme="minorHAnsi" w:cstheme="minorHAnsi"/>
                <w:sz w:val="22"/>
                <w:szCs w:val="22"/>
              </w:rPr>
              <w:t xml:space="preserve"> and non-sensitive</w:t>
            </w:r>
            <w:r>
              <w:rPr>
                <w:rFonts w:asciiTheme="minorHAnsi" w:hAnsiTheme="minorHAnsi" w:cstheme="minorHAnsi"/>
                <w:sz w:val="22"/>
                <w:szCs w:val="22"/>
              </w:rPr>
              <w:t xml:space="preserve"> businesses</w:t>
            </w:r>
            <w:r w:rsidR="00207F8B">
              <w:rPr>
                <w:rFonts w:asciiTheme="minorHAnsi" w:hAnsiTheme="minorHAnsi" w:cstheme="minorHAnsi"/>
                <w:sz w:val="22"/>
                <w:szCs w:val="22"/>
              </w:rPr>
              <w:t>)</w:t>
            </w:r>
          </w:p>
        </w:tc>
        <w:tc>
          <w:tcPr>
            <w:tcW w:w="915" w:type="pct"/>
            <w:vMerge w:val="restart"/>
            <w:vAlign w:val="center"/>
          </w:tcPr>
          <w:p w14:paraId="7F646EFB" w14:textId="67BA4836" w:rsidR="00401121" w:rsidRPr="00A62732" w:rsidRDefault="00401121" w:rsidP="00401121">
            <w:pPr>
              <w:spacing w:after="0"/>
              <w:rPr>
                <w:rFonts w:asciiTheme="minorHAnsi" w:hAnsiTheme="minorHAnsi" w:cstheme="minorHAnsi"/>
                <w:sz w:val="22"/>
                <w:szCs w:val="22"/>
              </w:rPr>
            </w:pPr>
            <w:r>
              <w:rPr>
                <w:rFonts w:asciiTheme="minorHAnsi" w:hAnsiTheme="minorHAnsi" w:cstheme="minorHAnsi"/>
                <w:sz w:val="22"/>
                <w:szCs w:val="22"/>
              </w:rPr>
              <w:t xml:space="preserve">Substantial </w:t>
            </w:r>
            <w:r w:rsidR="00CD0595">
              <w:rPr>
                <w:rFonts w:asciiTheme="minorHAnsi" w:hAnsiTheme="minorHAnsi" w:cstheme="minorHAnsi"/>
                <w:sz w:val="22"/>
                <w:szCs w:val="22"/>
              </w:rPr>
              <w:t>i</w:t>
            </w:r>
            <w:r>
              <w:rPr>
                <w:rFonts w:asciiTheme="minorHAnsi" w:hAnsiTheme="minorHAnsi" w:cstheme="minorHAnsi"/>
                <w:sz w:val="22"/>
                <w:szCs w:val="22"/>
              </w:rPr>
              <w:t>nterest (20 per cent or more</w:t>
            </w:r>
            <w:r w:rsidR="00ED5B29">
              <w:rPr>
                <w:rFonts w:asciiTheme="minorHAnsi" w:hAnsiTheme="minorHAnsi" w:cstheme="minorHAnsi"/>
                <w:sz w:val="22"/>
                <w:szCs w:val="22"/>
              </w:rPr>
              <w:t>)</w:t>
            </w:r>
            <w:r>
              <w:rPr>
                <w:rFonts w:asciiTheme="minorHAnsi" w:hAnsiTheme="minorHAnsi" w:cstheme="minorHAnsi"/>
                <w:sz w:val="22"/>
                <w:szCs w:val="22"/>
                <w:vertAlign w:val="superscript"/>
              </w:rPr>
              <w:t>10</w:t>
            </w:r>
          </w:p>
        </w:tc>
        <w:tc>
          <w:tcPr>
            <w:tcW w:w="1551" w:type="pct"/>
            <w:tcMar>
              <w:top w:w="120" w:type="dxa"/>
              <w:left w:w="120" w:type="dxa"/>
              <w:bottom w:w="120" w:type="dxa"/>
              <w:right w:w="120" w:type="dxa"/>
            </w:tcMar>
            <w:vAlign w:val="center"/>
            <w:hideMark/>
          </w:tcPr>
          <w:p w14:paraId="55E74777" w14:textId="75092E97" w:rsidR="00401121" w:rsidRPr="00A62732" w:rsidRDefault="00401121" w:rsidP="00401121">
            <w:pPr>
              <w:spacing w:after="0"/>
              <w:rPr>
                <w:rFonts w:asciiTheme="minorHAnsi" w:hAnsiTheme="minorHAnsi" w:cstheme="minorHAnsi"/>
                <w:sz w:val="22"/>
                <w:szCs w:val="22"/>
              </w:rPr>
            </w:pPr>
            <w:r>
              <w:rPr>
                <w:rFonts w:asciiTheme="minorHAnsi" w:hAnsiTheme="minorHAnsi" w:cstheme="minorHAnsi"/>
                <w:sz w:val="22"/>
                <w:szCs w:val="22"/>
              </w:rPr>
              <w:t xml:space="preserve">More than </w:t>
            </w:r>
            <w:r w:rsidRPr="00A62732">
              <w:rPr>
                <w:rFonts w:asciiTheme="minorHAnsi" w:hAnsiTheme="minorHAnsi" w:cstheme="minorHAnsi"/>
                <w:sz w:val="22"/>
                <w:szCs w:val="22"/>
              </w:rPr>
              <w:t>$</w:t>
            </w:r>
            <w:r>
              <w:rPr>
                <w:rFonts w:asciiTheme="minorHAnsi" w:hAnsiTheme="minorHAnsi" w:cstheme="minorHAnsi"/>
                <w:sz w:val="22"/>
                <w:szCs w:val="22"/>
              </w:rPr>
              <w:t>3</w:t>
            </w:r>
            <w:r w:rsidR="00735DF2">
              <w:rPr>
                <w:rFonts w:asciiTheme="minorHAnsi" w:hAnsiTheme="minorHAnsi" w:cstheme="minorHAnsi"/>
                <w:sz w:val="22"/>
                <w:szCs w:val="22"/>
              </w:rPr>
              <w:t>47</w:t>
            </w:r>
            <w:r w:rsidRPr="00A62732">
              <w:rPr>
                <w:rFonts w:asciiTheme="minorHAnsi" w:hAnsiTheme="minorHAnsi" w:cstheme="minorHAnsi"/>
                <w:sz w:val="22"/>
                <w:szCs w:val="22"/>
              </w:rPr>
              <w:t xml:space="preserve"> million</w:t>
            </w:r>
          </w:p>
        </w:tc>
      </w:tr>
      <w:tr w:rsidR="00D11DB2" w:rsidRPr="00385F08" w14:paraId="4F759C61" w14:textId="77777777" w:rsidTr="00F7716A">
        <w:tc>
          <w:tcPr>
            <w:tcW w:w="1004" w:type="pct"/>
            <w:vMerge/>
            <w:vAlign w:val="center"/>
            <w:hideMark/>
          </w:tcPr>
          <w:p w14:paraId="2D53972C" w14:textId="77777777" w:rsidR="00D11DB2" w:rsidRPr="00385F08" w:rsidRDefault="00D11DB2" w:rsidP="00D118F7">
            <w:pPr>
              <w:spacing w:after="0"/>
              <w:rPr>
                <w:rFonts w:asciiTheme="minorHAnsi" w:hAnsiTheme="minorHAnsi" w:cstheme="minorHAnsi"/>
                <w:b/>
                <w:sz w:val="22"/>
                <w:szCs w:val="22"/>
                <w:lang w:eastAsia="en-US"/>
              </w:rPr>
            </w:pPr>
          </w:p>
        </w:tc>
        <w:tc>
          <w:tcPr>
            <w:tcW w:w="1530" w:type="pct"/>
            <w:tcMar>
              <w:top w:w="120" w:type="dxa"/>
              <w:left w:w="120" w:type="dxa"/>
              <w:bottom w:w="120" w:type="dxa"/>
              <w:right w:w="120" w:type="dxa"/>
            </w:tcMar>
            <w:vAlign w:val="center"/>
            <w:hideMark/>
          </w:tcPr>
          <w:p w14:paraId="7ADB4DB8" w14:textId="7C3A86E1" w:rsidR="00D11DB2" w:rsidRPr="00A62732" w:rsidRDefault="00BD3821" w:rsidP="00D118F7">
            <w:pPr>
              <w:spacing w:after="0"/>
              <w:rPr>
                <w:rFonts w:asciiTheme="minorHAnsi" w:hAnsiTheme="minorHAnsi" w:cstheme="minorHAnsi"/>
                <w:sz w:val="22"/>
                <w:szCs w:val="22"/>
              </w:rPr>
            </w:pPr>
            <w:r>
              <w:rPr>
                <w:rFonts w:asciiTheme="minorHAnsi" w:hAnsiTheme="minorHAnsi" w:cstheme="minorHAnsi"/>
                <w:sz w:val="22"/>
                <w:szCs w:val="22"/>
              </w:rPr>
              <w:t>E</w:t>
            </w:r>
            <w:r w:rsidR="005463AA">
              <w:rPr>
                <w:rFonts w:asciiTheme="minorHAnsi" w:hAnsiTheme="minorHAnsi" w:cstheme="minorHAnsi"/>
                <w:sz w:val="22"/>
                <w:szCs w:val="22"/>
              </w:rPr>
              <w:t>ntities carrying on a non-sensitive s</w:t>
            </w:r>
            <w:r w:rsidR="00D11DB2">
              <w:rPr>
                <w:rFonts w:asciiTheme="minorHAnsi" w:hAnsiTheme="minorHAnsi" w:cstheme="minorHAnsi"/>
                <w:sz w:val="22"/>
                <w:szCs w:val="22"/>
              </w:rPr>
              <w:t>ervice business</w:t>
            </w:r>
            <w:r w:rsidR="002E4B1A">
              <w:rPr>
                <w:rFonts w:asciiTheme="minorHAnsi" w:hAnsiTheme="minorHAnsi" w:cstheme="minorHAnsi"/>
                <w:sz w:val="22"/>
                <w:szCs w:val="22"/>
                <w:vertAlign w:val="superscript"/>
              </w:rPr>
              <w:fldChar w:fldCharType="begin"/>
            </w:r>
            <w:r w:rsidR="002E4B1A">
              <w:rPr>
                <w:rFonts w:asciiTheme="minorHAnsi" w:hAnsiTheme="minorHAnsi" w:cstheme="minorHAnsi"/>
                <w:sz w:val="22"/>
                <w:szCs w:val="22"/>
                <w:vertAlign w:val="superscript"/>
              </w:rPr>
              <w:instrText xml:space="preserve"> NOTEREF _Ref194400774 \h </w:instrText>
            </w:r>
            <w:r w:rsidR="002E4B1A">
              <w:rPr>
                <w:rFonts w:asciiTheme="minorHAnsi" w:hAnsiTheme="minorHAnsi" w:cstheme="minorHAnsi"/>
                <w:sz w:val="22"/>
                <w:szCs w:val="22"/>
                <w:vertAlign w:val="superscript"/>
              </w:rPr>
            </w:r>
            <w:r w:rsidR="002E4B1A">
              <w:rPr>
                <w:rFonts w:asciiTheme="minorHAnsi" w:hAnsiTheme="minorHAnsi" w:cstheme="minorHAnsi"/>
                <w:sz w:val="22"/>
                <w:szCs w:val="22"/>
                <w:vertAlign w:val="superscript"/>
              </w:rPr>
              <w:fldChar w:fldCharType="separate"/>
            </w:r>
            <w:r w:rsidR="00683DBB">
              <w:rPr>
                <w:rFonts w:asciiTheme="minorHAnsi" w:hAnsiTheme="minorHAnsi" w:cstheme="minorHAnsi"/>
                <w:sz w:val="22"/>
                <w:szCs w:val="22"/>
                <w:vertAlign w:val="superscript"/>
              </w:rPr>
              <w:t>13</w:t>
            </w:r>
            <w:r w:rsidR="002E4B1A">
              <w:rPr>
                <w:rFonts w:asciiTheme="minorHAnsi" w:hAnsiTheme="minorHAnsi" w:cstheme="minorHAnsi"/>
                <w:sz w:val="22"/>
                <w:szCs w:val="22"/>
                <w:vertAlign w:val="superscript"/>
              </w:rPr>
              <w:fldChar w:fldCharType="end"/>
            </w:r>
          </w:p>
        </w:tc>
        <w:tc>
          <w:tcPr>
            <w:tcW w:w="915" w:type="pct"/>
            <w:vMerge/>
            <w:vAlign w:val="center"/>
          </w:tcPr>
          <w:p w14:paraId="3C223731" w14:textId="77777777" w:rsidR="00D11DB2" w:rsidRPr="00A62732" w:rsidRDefault="00D11DB2" w:rsidP="000C5E6D">
            <w:pPr>
              <w:spacing w:after="0"/>
              <w:rPr>
                <w:rFonts w:asciiTheme="minorHAnsi" w:hAnsiTheme="minorHAnsi" w:cstheme="minorHAnsi"/>
                <w:sz w:val="22"/>
                <w:szCs w:val="22"/>
              </w:rPr>
            </w:pPr>
          </w:p>
        </w:tc>
        <w:tc>
          <w:tcPr>
            <w:tcW w:w="1551" w:type="pct"/>
            <w:tcMar>
              <w:top w:w="120" w:type="dxa"/>
              <w:left w:w="120" w:type="dxa"/>
              <w:bottom w:w="120" w:type="dxa"/>
              <w:right w:w="120" w:type="dxa"/>
            </w:tcMar>
            <w:vAlign w:val="center"/>
            <w:hideMark/>
          </w:tcPr>
          <w:p w14:paraId="76D5DBD7" w14:textId="7C4D3D0E" w:rsidR="00D11DB2" w:rsidRDefault="00D11DB2" w:rsidP="00D11DB2">
            <w:pPr>
              <w:spacing w:after="0"/>
              <w:rPr>
                <w:rFonts w:asciiTheme="minorHAnsi" w:hAnsiTheme="minorHAnsi" w:cstheme="minorHAnsi"/>
                <w:sz w:val="22"/>
                <w:szCs w:val="22"/>
              </w:rPr>
            </w:pPr>
            <w:r>
              <w:rPr>
                <w:rFonts w:asciiTheme="minorHAnsi" w:hAnsiTheme="minorHAnsi" w:cstheme="minorHAnsi"/>
                <w:sz w:val="22"/>
                <w:szCs w:val="22"/>
              </w:rPr>
              <w:t>For India</w:t>
            </w:r>
            <w:r w:rsidRPr="00E55FB3">
              <w:rPr>
                <w:rFonts w:asciiTheme="minorHAnsi" w:hAnsiTheme="minorHAnsi" w:cstheme="minorHAnsi"/>
                <w:sz w:val="22"/>
                <w:szCs w:val="22"/>
              </w:rPr>
              <w:t>—</w:t>
            </w:r>
            <w:r w:rsidRPr="00B00C34">
              <w:rPr>
                <w:rFonts w:cstheme="minorHAnsi"/>
                <w:sz w:val="22"/>
                <w:szCs w:val="22"/>
              </w:rPr>
              <w:t>more than</w:t>
            </w:r>
            <w:r>
              <w:rPr>
                <w:rFonts w:cstheme="minorHAnsi"/>
                <w:sz w:val="22"/>
                <w:szCs w:val="22"/>
              </w:rPr>
              <w:t xml:space="preserve"> </w:t>
            </w:r>
            <w:r>
              <w:rPr>
                <w:rFonts w:asciiTheme="minorHAnsi" w:hAnsiTheme="minorHAnsi" w:cstheme="minorHAnsi"/>
                <w:sz w:val="22"/>
                <w:szCs w:val="22"/>
              </w:rPr>
              <w:t>$5</w:t>
            </w:r>
            <w:r w:rsidR="00735DF2">
              <w:rPr>
                <w:rFonts w:asciiTheme="minorHAnsi" w:hAnsiTheme="minorHAnsi" w:cstheme="minorHAnsi"/>
                <w:sz w:val="22"/>
                <w:szCs w:val="22"/>
              </w:rPr>
              <w:t>60</w:t>
            </w:r>
            <w:r>
              <w:rPr>
                <w:rFonts w:asciiTheme="minorHAnsi" w:hAnsiTheme="minorHAnsi" w:cstheme="minorHAnsi"/>
                <w:sz w:val="22"/>
                <w:szCs w:val="22"/>
              </w:rPr>
              <w:t xml:space="preserve"> million</w:t>
            </w:r>
            <w:r>
              <w:rPr>
                <w:rStyle w:val="FootnoteReference"/>
                <w:rFonts w:asciiTheme="minorHAnsi" w:hAnsiTheme="minorHAnsi"/>
                <w:sz w:val="22"/>
                <w:szCs w:val="22"/>
              </w:rPr>
              <w:footnoteReference w:id="15"/>
            </w:r>
          </w:p>
          <w:p w14:paraId="4A418AC6" w14:textId="1CADD9E5" w:rsidR="00D11DB2" w:rsidRPr="00A62732" w:rsidRDefault="00D11DB2" w:rsidP="00D118F7">
            <w:pPr>
              <w:spacing w:after="0"/>
              <w:rPr>
                <w:rFonts w:asciiTheme="minorHAnsi" w:hAnsiTheme="minorHAnsi" w:cstheme="minorHAnsi"/>
                <w:sz w:val="22"/>
                <w:szCs w:val="22"/>
              </w:rPr>
            </w:pPr>
          </w:p>
        </w:tc>
      </w:tr>
      <w:tr w:rsidR="000C5E6D" w:rsidRPr="00385F08" w14:paraId="1631CA04" w14:textId="77777777" w:rsidTr="00154846">
        <w:tc>
          <w:tcPr>
            <w:tcW w:w="1004" w:type="pct"/>
            <w:vMerge/>
            <w:vAlign w:val="center"/>
          </w:tcPr>
          <w:p w14:paraId="63893BA7" w14:textId="77777777" w:rsidR="000C5E6D" w:rsidRPr="00385F08" w:rsidRDefault="000C5E6D" w:rsidP="00D118F7">
            <w:pPr>
              <w:spacing w:after="0"/>
              <w:rPr>
                <w:rFonts w:asciiTheme="minorHAnsi" w:hAnsiTheme="minorHAnsi" w:cstheme="minorHAnsi"/>
                <w:b/>
                <w:sz w:val="22"/>
                <w:szCs w:val="22"/>
                <w:lang w:eastAsia="en-US"/>
              </w:rPr>
            </w:pPr>
          </w:p>
        </w:tc>
        <w:tc>
          <w:tcPr>
            <w:tcW w:w="1530" w:type="pct"/>
            <w:tcMar>
              <w:top w:w="120" w:type="dxa"/>
              <w:left w:w="120" w:type="dxa"/>
              <w:bottom w:w="120" w:type="dxa"/>
              <w:right w:w="120" w:type="dxa"/>
            </w:tcMar>
            <w:vAlign w:val="center"/>
          </w:tcPr>
          <w:p w14:paraId="22C25BCC" w14:textId="148C2AAC" w:rsidR="00D11DB2" w:rsidRPr="00A62732" w:rsidRDefault="00D11DB2" w:rsidP="00D118F7">
            <w:pPr>
              <w:spacing w:after="0"/>
              <w:rPr>
                <w:rFonts w:asciiTheme="minorHAnsi" w:hAnsiTheme="minorHAnsi" w:cstheme="minorHAnsi"/>
                <w:sz w:val="22"/>
                <w:szCs w:val="22"/>
              </w:rPr>
            </w:pPr>
            <w:r w:rsidRPr="00A62732">
              <w:rPr>
                <w:rFonts w:asciiTheme="minorHAnsi" w:hAnsiTheme="minorHAnsi" w:cstheme="minorHAnsi"/>
                <w:sz w:val="22"/>
                <w:szCs w:val="22"/>
              </w:rPr>
              <w:t>Agribusinesses</w:t>
            </w:r>
            <w:r w:rsidR="00694B0C">
              <w:rPr>
                <w:rFonts w:asciiTheme="minorHAnsi" w:hAnsiTheme="minorHAnsi" w:cstheme="minorHAnsi"/>
                <w:sz w:val="22"/>
                <w:szCs w:val="22"/>
              </w:rPr>
              <w:t xml:space="preserve"> (entities and businesses)</w:t>
            </w:r>
          </w:p>
        </w:tc>
        <w:tc>
          <w:tcPr>
            <w:tcW w:w="915" w:type="pct"/>
            <w:vAlign w:val="center"/>
          </w:tcPr>
          <w:p w14:paraId="7524EB22" w14:textId="243194EB" w:rsidR="000C5E6D" w:rsidRDefault="00465934" w:rsidP="000C5E6D">
            <w:pPr>
              <w:spacing w:after="0"/>
              <w:rPr>
                <w:rFonts w:asciiTheme="minorHAnsi" w:hAnsiTheme="minorHAnsi" w:cstheme="minorHAnsi"/>
                <w:sz w:val="22"/>
                <w:szCs w:val="22"/>
              </w:rPr>
            </w:pPr>
            <w:r>
              <w:rPr>
                <w:rFonts w:asciiTheme="minorHAnsi" w:hAnsiTheme="minorHAnsi" w:cstheme="minorHAnsi"/>
                <w:sz w:val="22"/>
                <w:szCs w:val="22"/>
              </w:rPr>
              <w:t xml:space="preserve">Direct </w:t>
            </w:r>
            <w:r w:rsidR="00CD0595">
              <w:rPr>
                <w:rFonts w:asciiTheme="minorHAnsi" w:hAnsiTheme="minorHAnsi" w:cstheme="minorHAnsi"/>
                <w:sz w:val="22"/>
                <w:szCs w:val="22"/>
              </w:rPr>
              <w:t>i</w:t>
            </w:r>
            <w:r>
              <w:rPr>
                <w:rFonts w:asciiTheme="minorHAnsi" w:hAnsiTheme="minorHAnsi" w:cstheme="minorHAnsi"/>
                <w:sz w:val="22"/>
                <w:szCs w:val="22"/>
              </w:rPr>
              <w:t>nterest (</w:t>
            </w:r>
            <w:r w:rsidR="00726E4B">
              <w:rPr>
                <w:sz w:val="22"/>
                <w:szCs w:val="22"/>
              </w:rPr>
              <w:t>generally</w:t>
            </w:r>
            <w:r w:rsidR="00726E4B">
              <w:rPr>
                <w:rFonts w:asciiTheme="minorHAnsi" w:hAnsiTheme="minorHAnsi" w:cstheme="minorHAnsi"/>
                <w:sz w:val="22"/>
                <w:szCs w:val="22"/>
              </w:rPr>
              <w:t xml:space="preserve"> </w:t>
            </w:r>
            <w:r w:rsidR="00986749">
              <w:rPr>
                <w:rFonts w:asciiTheme="minorHAnsi" w:hAnsiTheme="minorHAnsi" w:cstheme="minorHAnsi"/>
                <w:sz w:val="22"/>
                <w:szCs w:val="22"/>
              </w:rPr>
              <w:t>10 per cent or more</w:t>
            </w:r>
            <w:r>
              <w:rPr>
                <w:rFonts w:asciiTheme="minorHAnsi" w:hAnsiTheme="minorHAnsi" w:cstheme="minorHAnsi"/>
                <w:sz w:val="22"/>
                <w:szCs w:val="22"/>
              </w:rPr>
              <w:t>)</w:t>
            </w:r>
            <w:r w:rsidR="00E45A75" w:rsidRPr="0054554A">
              <w:rPr>
                <w:rFonts w:asciiTheme="minorHAnsi" w:hAnsiTheme="minorHAnsi" w:cstheme="minorHAnsi"/>
                <w:sz w:val="22"/>
                <w:szCs w:val="22"/>
                <w:vertAlign w:val="superscript"/>
              </w:rPr>
              <w:fldChar w:fldCharType="begin"/>
            </w:r>
            <w:r w:rsidR="00E45A75" w:rsidRPr="0054554A">
              <w:rPr>
                <w:rFonts w:asciiTheme="minorHAnsi" w:hAnsiTheme="minorHAnsi" w:cstheme="minorHAnsi"/>
                <w:sz w:val="22"/>
                <w:szCs w:val="22"/>
                <w:vertAlign w:val="superscript"/>
              </w:rPr>
              <w:instrText xml:space="preserve"> NOTEREF _Ref194400754 \h </w:instrText>
            </w:r>
            <w:r w:rsidR="00E45A75">
              <w:rPr>
                <w:rFonts w:asciiTheme="minorHAnsi" w:hAnsiTheme="minorHAnsi" w:cstheme="minorHAnsi"/>
                <w:sz w:val="22"/>
                <w:szCs w:val="22"/>
                <w:vertAlign w:val="superscript"/>
              </w:rPr>
              <w:instrText xml:space="preserve"> \* MERGEFORMAT </w:instrText>
            </w:r>
            <w:r w:rsidR="00E45A75" w:rsidRPr="0054554A">
              <w:rPr>
                <w:rFonts w:asciiTheme="minorHAnsi" w:hAnsiTheme="minorHAnsi" w:cstheme="minorHAnsi"/>
                <w:sz w:val="22"/>
                <w:szCs w:val="22"/>
                <w:vertAlign w:val="superscript"/>
              </w:rPr>
            </w:r>
            <w:r w:rsidR="00E45A75" w:rsidRPr="0054554A">
              <w:rPr>
                <w:rFonts w:asciiTheme="minorHAnsi" w:hAnsiTheme="minorHAnsi" w:cstheme="minorHAnsi"/>
                <w:sz w:val="22"/>
                <w:szCs w:val="22"/>
                <w:vertAlign w:val="superscript"/>
              </w:rPr>
              <w:fldChar w:fldCharType="separate"/>
            </w:r>
            <w:r w:rsidR="00683DBB">
              <w:rPr>
                <w:rFonts w:asciiTheme="minorHAnsi" w:hAnsiTheme="minorHAnsi" w:cstheme="minorHAnsi"/>
                <w:sz w:val="22"/>
                <w:szCs w:val="22"/>
                <w:vertAlign w:val="superscript"/>
              </w:rPr>
              <w:t>9</w:t>
            </w:r>
            <w:r w:rsidR="00E45A75" w:rsidRPr="0054554A">
              <w:rPr>
                <w:rFonts w:asciiTheme="minorHAnsi" w:hAnsiTheme="minorHAnsi" w:cstheme="minorHAnsi"/>
                <w:sz w:val="22"/>
                <w:szCs w:val="22"/>
                <w:vertAlign w:val="superscript"/>
              </w:rPr>
              <w:fldChar w:fldCharType="end"/>
            </w:r>
          </w:p>
        </w:tc>
        <w:tc>
          <w:tcPr>
            <w:tcW w:w="1551" w:type="pct"/>
            <w:tcMar>
              <w:top w:w="120" w:type="dxa"/>
              <w:left w:w="120" w:type="dxa"/>
              <w:bottom w:w="120" w:type="dxa"/>
              <w:right w:w="120" w:type="dxa"/>
            </w:tcMar>
            <w:vAlign w:val="center"/>
          </w:tcPr>
          <w:p w14:paraId="15486AB1" w14:textId="4D9372AA" w:rsidR="00D11DB2" w:rsidRPr="00A62732" w:rsidRDefault="00D11DB2" w:rsidP="00D118F7">
            <w:pPr>
              <w:spacing w:after="0"/>
              <w:rPr>
                <w:rFonts w:asciiTheme="minorHAnsi" w:hAnsiTheme="minorHAnsi" w:cstheme="minorHAnsi"/>
                <w:sz w:val="22"/>
                <w:szCs w:val="22"/>
              </w:rPr>
            </w:pPr>
            <w:r>
              <w:rPr>
                <w:rFonts w:asciiTheme="minorHAnsi" w:hAnsiTheme="minorHAnsi" w:cstheme="minorHAnsi"/>
                <w:sz w:val="22"/>
                <w:szCs w:val="22"/>
              </w:rPr>
              <w:t xml:space="preserve">More than </w:t>
            </w:r>
            <w:r w:rsidRPr="00A62732">
              <w:rPr>
                <w:rFonts w:asciiTheme="minorHAnsi" w:hAnsiTheme="minorHAnsi" w:cstheme="minorHAnsi"/>
                <w:sz w:val="22"/>
                <w:szCs w:val="22"/>
              </w:rPr>
              <w:t>$</w:t>
            </w:r>
            <w:r>
              <w:rPr>
                <w:rFonts w:asciiTheme="minorHAnsi" w:hAnsiTheme="minorHAnsi" w:cstheme="minorHAnsi"/>
                <w:sz w:val="22"/>
                <w:szCs w:val="22"/>
              </w:rPr>
              <w:t>7</w:t>
            </w:r>
            <w:r w:rsidR="00735DF2">
              <w:rPr>
                <w:rFonts w:asciiTheme="minorHAnsi" w:hAnsiTheme="minorHAnsi" w:cstheme="minorHAnsi"/>
                <w:sz w:val="22"/>
                <w:szCs w:val="22"/>
              </w:rPr>
              <w:t>5</w:t>
            </w:r>
            <w:r w:rsidRPr="00A62732">
              <w:rPr>
                <w:rFonts w:asciiTheme="minorHAnsi" w:hAnsiTheme="minorHAnsi" w:cstheme="minorHAnsi"/>
                <w:sz w:val="22"/>
                <w:szCs w:val="22"/>
              </w:rPr>
              <w:t xml:space="preserve"> million </w:t>
            </w:r>
            <w:r w:rsidRPr="006E0664">
              <w:rPr>
                <w:rFonts w:asciiTheme="minorHAnsi" w:hAnsiTheme="minorHAnsi" w:cstheme="minorHAnsi"/>
                <w:sz w:val="22"/>
                <w:szCs w:val="22"/>
              </w:rPr>
              <w:t>(cumulative)</w:t>
            </w:r>
          </w:p>
        </w:tc>
      </w:tr>
      <w:tr w:rsidR="003F1605" w:rsidRPr="006E0664" w14:paraId="1B78FA26" w14:textId="77777777" w:rsidTr="00F7716A">
        <w:tc>
          <w:tcPr>
            <w:tcW w:w="1004" w:type="pct"/>
            <w:vMerge w:val="restart"/>
            <w:tcMar>
              <w:top w:w="120" w:type="dxa"/>
              <w:left w:w="120" w:type="dxa"/>
              <w:bottom w:w="120" w:type="dxa"/>
              <w:right w:w="120" w:type="dxa"/>
            </w:tcMar>
            <w:vAlign w:val="center"/>
          </w:tcPr>
          <w:p w14:paraId="5625D035" w14:textId="4C8D3479" w:rsidR="00A877C8" w:rsidRPr="00385F08" w:rsidRDefault="00A877C8" w:rsidP="00D118F7">
            <w:pPr>
              <w:spacing w:after="0"/>
              <w:rPr>
                <w:rFonts w:asciiTheme="minorHAnsi" w:hAnsiTheme="minorHAnsi" w:cstheme="minorHAnsi"/>
                <w:b/>
                <w:sz w:val="22"/>
                <w:szCs w:val="22"/>
              </w:rPr>
            </w:pPr>
            <w:r w:rsidRPr="00385F08">
              <w:rPr>
                <w:rFonts w:asciiTheme="minorHAnsi" w:hAnsiTheme="minorHAnsi" w:cstheme="minorHAnsi"/>
                <w:b/>
                <w:sz w:val="22"/>
                <w:szCs w:val="22"/>
              </w:rPr>
              <w:t>Foreign government investors</w:t>
            </w:r>
            <w:bookmarkStart w:id="8" w:name="_Ref194575917"/>
            <w:r w:rsidR="00A00B7C">
              <w:rPr>
                <w:rStyle w:val="FootnoteReference"/>
                <w:rFonts w:asciiTheme="minorHAnsi" w:hAnsiTheme="minorHAnsi"/>
                <w:b/>
                <w:sz w:val="22"/>
                <w:szCs w:val="22"/>
              </w:rPr>
              <w:footnoteReference w:id="16"/>
            </w:r>
            <w:bookmarkEnd w:id="8"/>
          </w:p>
        </w:tc>
        <w:tc>
          <w:tcPr>
            <w:tcW w:w="1530" w:type="pct"/>
            <w:tcMar>
              <w:top w:w="120" w:type="dxa"/>
              <w:left w:w="120" w:type="dxa"/>
              <w:bottom w:w="120" w:type="dxa"/>
              <w:right w:w="120" w:type="dxa"/>
            </w:tcMar>
            <w:vAlign w:val="center"/>
          </w:tcPr>
          <w:p w14:paraId="03B157CD" w14:textId="36B71F71" w:rsidR="00A877C8" w:rsidRDefault="00A877C8" w:rsidP="00D118F7">
            <w:pPr>
              <w:spacing w:after="0"/>
              <w:rPr>
                <w:rFonts w:asciiTheme="minorHAnsi" w:hAnsiTheme="minorHAnsi" w:cstheme="minorHAnsi"/>
                <w:sz w:val="22"/>
                <w:szCs w:val="22"/>
              </w:rPr>
            </w:pPr>
            <w:r>
              <w:rPr>
                <w:rFonts w:asciiTheme="minorHAnsi" w:hAnsiTheme="minorHAnsi" w:cstheme="minorHAnsi"/>
                <w:sz w:val="22"/>
                <w:szCs w:val="22"/>
              </w:rPr>
              <w:t xml:space="preserve">Tenements </w:t>
            </w:r>
          </w:p>
        </w:tc>
        <w:tc>
          <w:tcPr>
            <w:tcW w:w="915" w:type="pct"/>
            <w:vAlign w:val="center"/>
          </w:tcPr>
          <w:p w14:paraId="4581FF15" w14:textId="6B4679D2" w:rsidR="00A877C8" w:rsidRDefault="00A877C8" w:rsidP="000C5E6D">
            <w:pPr>
              <w:spacing w:after="0"/>
              <w:rPr>
                <w:rFonts w:asciiTheme="minorHAnsi" w:hAnsiTheme="minorHAnsi" w:cstheme="minorHAnsi"/>
                <w:sz w:val="22"/>
                <w:szCs w:val="22"/>
              </w:rPr>
            </w:pPr>
            <w:r>
              <w:rPr>
                <w:rFonts w:asciiTheme="minorHAnsi" w:hAnsiTheme="minorHAnsi" w:cstheme="minorHAnsi"/>
                <w:sz w:val="22"/>
                <w:szCs w:val="22"/>
              </w:rPr>
              <w:t>Any</w:t>
            </w:r>
          </w:p>
        </w:tc>
        <w:tc>
          <w:tcPr>
            <w:tcW w:w="1551" w:type="pct"/>
            <w:tcMar>
              <w:top w:w="120" w:type="dxa"/>
              <w:left w:w="120" w:type="dxa"/>
              <w:bottom w:w="120" w:type="dxa"/>
              <w:right w:w="120" w:type="dxa"/>
            </w:tcMar>
            <w:vAlign w:val="center"/>
          </w:tcPr>
          <w:p w14:paraId="27239788" w14:textId="2CAC59DA" w:rsidR="00A877C8" w:rsidRPr="00385F08" w:rsidRDefault="00A877C8" w:rsidP="00D118F7">
            <w:pPr>
              <w:spacing w:after="0"/>
              <w:rPr>
                <w:rFonts w:asciiTheme="minorHAnsi" w:hAnsiTheme="minorHAnsi" w:cstheme="minorHAnsi"/>
                <w:sz w:val="22"/>
                <w:szCs w:val="22"/>
              </w:rPr>
            </w:pPr>
            <w:r>
              <w:rPr>
                <w:rFonts w:asciiTheme="minorHAnsi" w:hAnsiTheme="minorHAnsi" w:cstheme="minorHAnsi"/>
                <w:sz w:val="22"/>
                <w:szCs w:val="22"/>
              </w:rPr>
              <w:t>$0 or more</w:t>
            </w:r>
          </w:p>
        </w:tc>
      </w:tr>
      <w:tr w:rsidR="00A877C8" w:rsidRPr="006E0664" w14:paraId="39858950" w14:textId="77777777" w:rsidTr="00F7716A">
        <w:tc>
          <w:tcPr>
            <w:tcW w:w="1004" w:type="pct"/>
            <w:vMerge/>
            <w:tcMar>
              <w:top w:w="120" w:type="dxa"/>
              <w:left w:w="120" w:type="dxa"/>
              <w:bottom w:w="120" w:type="dxa"/>
              <w:right w:w="120" w:type="dxa"/>
            </w:tcMar>
            <w:vAlign w:val="center"/>
            <w:hideMark/>
          </w:tcPr>
          <w:p w14:paraId="6DFD15E5" w14:textId="557E0645" w:rsidR="00A877C8" w:rsidRPr="00385F08" w:rsidRDefault="00A877C8" w:rsidP="00D118F7">
            <w:pPr>
              <w:spacing w:after="0"/>
              <w:rPr>
                <w:rFonts w:asciiTheme="minorHAnsi" w:hAnsiTheme="minorHAnsi" w:cstheme="minorHAnsi"/>
                <w:b/>
                <w:sz w:val="22"/>
                <w:szCs w:val="22"/>
              </w:rPr>
            </w:pPr>
          </w:p>
        </w:tc>
        <w:tc>
          <w:tcPr>
            <w:tcW w:w="1530" w:type="pct"/>
            <w:tcMar>
              <w:top w:w="120" w:type="dxa"/>
              <w:left w:w="120" w:type="dxa"/>
              <w:bottom w:w="120" w:type="dxa"/>
              <w:right w:w="120" w:type="dxa"/>
            </w:tcMar>
            <w:vAlign w:val="center"/>
            <w:hideMark/>
          </w:tcPr>
          <w:p w14:paraId="213DD82C" w14:textId="1E9D84CF" w:rsidR="00A877C8" w:rsidRPr="00385F08" w:rsidRDefault="00A510CC" w:rsidP="00D118F7">
            <w:pPr>
              <w:spacing w:after="0"/>
              <w:rPr>
                <w:rFonts w:asciiTheme="minorHAnsi" w:hAnsiTheme="minorHAnsi" w:cstheme="minorHAnsi"/>
                <w:sz w:val="22"/>
                <w:szCs w:val="22"/>
              </w:rPr>
            </w:pPr>
            <w:r>
              <w:rPr>
                <w:rFonts w:asciiTheme="minorHAnsi" w:hAnsiTheme="minorHAnsi" w:cstheme="minorHAnsi"/>
                <w:sz w:val="22"/>
                <w:szCs w:val="22"/>
              </w:rPr>
              <w:t>Australian entities / Australian businesses</w:t>
            </w:r>
          </w:p>
        </w:tc>
        <w:tc>
          <w:tcPr>
            <w:tcW w:w="915" w:type="pct"/>
            <w:vAlign w:val="center"/>
          </w:tcPr>
          <w:p w14:paraId="2E8FCD7A" w14:textId="0DA45CEA" w:rsidR="00A877C8" w:rsidRPr="00385F08" w:rsidRDefault="00A877C8" w:rsidP="000C5E6D">
            <w:pPr>
              <w:spacing w:after="0"/>
              <w:rPr>
                <w:rFonts w:asciiTheme="minorHAnsi" w:hAnsiTheme="minorHAnsi" w:cstheme="minorHAnsi"/>
                <w:sz w:val="22"/>
                <w:szCs w:val="22"/>
              </w:rPr>
            </w:pPr>
            <w:r>
              <w:rPr>
                <w:rFonts w:asciiTheme="minorHAnsi" w:hAnsiTheme="minorHAnsi" w:cstheme="minorHAnsi"/>
                <w:sz w:val="22"/>
                <w:szCs w:val="22"/>
              </w:rPr>
              <w:t xml:space="preserve">Direct </w:t>
            </w:r>
            <w:r w:rsidR="00CD0595">
              <w:rPr>
                <w:rFonts w:asciiTheme="minorHAnsi" w:hAnsiTheme="minorHAnsi" w:cstheme="minorHAnsi"/>
                <w:sz w:val="22"/>
                <w:szCs w:val="22"/>
              </w:rPr>
              <w:t>i</w:t>
            </w:r>
            <w:r>
              <w:rPr>
                <w:rFonts w:asciiTheme="minorHAnsi" w:hAnsiTheme="minorHAnsi" w:cstheme="minorHAnsi"/>
                <w:sz w:val="22"/>
                <w:szCs w:val="22"/>
              </w:rPr>
              <w:t>nterest (</w:t>
            </w:r>
            <w:r w:rsidR="00726E4B">
              <w:rPr>
                <w:sz w:val="22"/>
                <w:szCs w:val="22"/>
              </w:rPr>
              <w:t>generally</w:t>
            </w:r>
            <w:r w:rsidR="00726E4B">
              <w:rPr>
                <w:rFonts w:asciiTheme="minorHAnsi" w:hAnsiTheme="minorHAnsi" w:cstheme="minorHAnsi"/>
                <w:sz w:val="22"/>
                <w:szCs w:val="22"/>
              </w:rPr>
              <w:t xml:space="preserve"> </w:t>
            </w:r>
            <w:r>
              <w:rPr>
                <w:rFonts w:asciiTheme="minorHAnsi" w:hAnsiTheme="minorHAnsi" w:cstheme="minorHAnsi"/>
                <w:sz w:val="22"/>
                <w:szCs w:val="22"/>
              </w:rPr>
              <w:t>10 per cent or more)</w:t>
            </w:r>
            <w:r w:rsidR="00E33B95" w:rsidRPr="0054554A">
              <w:rPr>
                <w:rFonts w:asciiTheme="minorHAnsi" w:hAnsiTheme="minorHAnsi" w:cstheme="minorHAnsi"/>
                <w:sz w:val="22"/>
                <w:szCs w:val="22"/>
                <w:vertAlign w:val="superscript"/>
              </w:rPr>
              <w:fldChar w:fldCharType="begin"/>
            </w:r>
            <w:r w:rsidR="00E33B95" w:rsidRPr="0054554A">
              <w:rPr>
                <w:rFonts w:asciiTheme="minorHAnsi" w:hAnsiTheme="minorHAnsi" w:cstheme="minorHAnsi"/>
                <w:sz w:val="22"/>
                <w:szCs w:val="22"/>
                <w:vertAlign w:val="superscript"/>
              </w:rPr>
              <w:instrText xml:space="preserve"> NOTEREF _Ref194400754 \h </w:instrText>
            </w:r>
            <w:r w:rsidR="00E33B95">
              <w:rPr>
                <w:rFonts w:asciiTheme="minorHAnsi" w:hAnsiTheme="minorHAnsi" w:cstheme="minorHAnsi"/>
                <w:sz w:val="22"/>
                <w:szCs w:val="22"/>
                <w:vertAlign w:val="superscript"/>
              </w:rPr>
              <w:instrText xml:space="preserve"> \* MERGEFORMAT </w:instrText>
            </w:r>
            <w:r w:rsidR="00E33B95" w:rsidRPr="0054554A">
              <w:rPr>
                <w:rFonts w:asciiTheme="minorHAnsi" w:hAnsiTheme="minorHAnsi" w:cstheme="minorHAnsi"/>
                <w:sz w:val="22"/>
                <w:szCs w:val="22"/>
                <w:vertAlign w:val="superscript"/>
              </w:rPr>
            </w:r>
            <w:r w:rsidR="00E33B95" w:rsidRPr="0054554A">
              <w:rPr>
                <w:rFonts w:asciiTheme="minorHAnsi" w:hAnsiTheme="minorHAnsi" w:cstheme="minorHAnsi"/>
                <w:sz w:val="22"/>
                <w:szCs w:val="22"/>
                <w:vertAlign w:val="superscript"/>
              </w:rPr>
              <w:fldChar w:fldCharType="separate"/>
            </w:r>
            <w:r w:rsidR="00683DBB">
              <w:rPr>
                <w:rFonts w:asciiTheme="minorHAnsi" w:hAnsiTheme="minorHAnsi" w:cstheme="minorHAnsi"/>
                <w:sz w:val="22"/>
                <w:szCs w:val="22"/>
                <w:vertAlign w:val="superscript"/>
              </w:rPr>
              <w:t>9</w:t>
            </w:r>
            <w:r w:rsidR="00E33B95" w:rsidRPr="0054554A">
              <w:rPr>
                <w:rFonts w:asciiTheme="minorHAnsi" w:hAnsiTheme="minorHAnsi" w:cstheme="minorHAnsi"/>
                <w:sz w:val="22"/>
                <w:szCs w:val="22"/>
                <w:vertAlign w:val="superscript"/>
              </w:rPr>
              <w:fldChar w:fldCharType="end"/>
            </w:r>
            <w:r w:rsidR="004E61AE" w:rsidDel="004E61AE">
              <w:rPr>
                <w:rStyle w:val="FootnoteReference"/>
                <w:rFonts w:asciiTheme="minorHAnsi" w:hAnsiTheme="minorHAnsi"/>
                <w:sz w:val="22"/>
                <w:szCs w:val="22"/>
              </w:rPr>
              <w:t xml:space="preserve"> </w:t>
            </w:r>
          </w:p>
        </w:tc>
        <w:tc>
          <w:tcPr>
            <w:tcW w:w="1551" w:type="pct"/>
            <w:tcMar>
              <w:top w:w="120" w:type="dxa"/>
              <w:left w:w="120" w:type="dxa"/>
              <w:bottom w:w="120" w:type="dxa"/>
              <w:right w:w="120" w:type="dxa"/>
            </w:tcMar>
            <w:vAlign w:val="center"/>
            <w:hideMark/>
          </w:tcPr>
          <w:p w14:paraId="5C9ACBB3" w14:textId="6BCFE86F" w:rsidR="00A877C8" w:rsidRPr="006E0664" w:rsidRDefault="00A877C8" w:rsidP="00D118F7">
            <w:pPr>
              <w:spacing w:after="0"/>
              <w:rPr>
                <w:rFonts w:asciiTheme="minorHAnsi" w:hAnsiTheme="minorHAnsi" w:cstheme="minorHAnsi"/>
                <w:sz w:val="22"/>
                <w:szCs w:val="22"/>
              </w:rPr>
            </w:pPr>
            <w:r w:rsidRPr="00385F08">
              <w:rPr>
                <w:rFonts w:asciiTheme="minorHAnsi" w:hAnsiTheme="minorHAnsi" w:cstheme="minorHAnsi"/>
                <w:sz w:val="22"/>
                <w:szCs w:val="22"/>
              </w:rPr>
              <w:t>$0</w:t>
            </w:r>
            <w:r>
              <w:rPr>
                <w:rFonts w:asciiTheme="minorHAnsi" w:hAnsiTheme="minorHAnsi" w:cstheme="minorHAnsi"/>
                <w:sz w:val="22"/>
                <w:szCs w:val="22"/>
              </w:rPr>
              <w:t xml:space="preserve"> or more</w:t>
            </w:r>
            <w:r>
              <w:rPr>
                <w:rStyle w:val="FootnoteReference"/>
                <w:rFonts w:asciiTheme="minorHAnsi" w:hAnsiTheme="minorHAnsi"/>
                <w:sz w:val="22"/>
                <w:szCs w:val="22"/>
              </w:rPr>
              <w:footnoteReference w:id="17"/>
            </w:r>
          </w:p>
        </w:tc>
      </w:tr>
      <w:tr w:rsidR="00245FA4" w:rsidRPr="006E0664" w14:paraId="627BF0BE" w14:textId="77777777" w:rsidTr="00F7716A">
        <w:tc>
          <w:tcPr>
            <w:tcW w:w="1004" w:type="pct"/>
            <w:vMerge/>
            <w:tcMar>
              <w:top w:w="120" w:type="dxa"/>
              <w:left w:w="120" w:type="dxa"/>
              <w:bottom w:w="120" w:type="dxa"/>
              <w:right w:w="120" w:type="dxa"/>
            </w:tcMar>
            <w:vAlign w:val="center"/>
          </w:tcPr>
          <w:p w14:paraId="204A692D" w14:textId="77777777" w:rsidR="00245FA4" w:rsidRPr="00385F08" w:rsidRDefault="00245FA4" w:rsidP="00245FA4">
            <w:pPr>
              <w:spacing w:after="0"/>
              <w:rPr>
                <w:rFonts w:asciiTheme="minorHAnsi" w:hAnsiTheme="minorHAnsi" w:cstheme="minorHAnsi"/>
                <w:b/>
                <w:sz w:val="22"/>
                <w:szCs w:val="22"/>
              </w:rPr>
            </w:pPr>
          </w:p>
        </w:tc>
        <w:tc>
          <w:tcPr>
            <w:tcW w:w="1530" w:type="pct"/>
            <w:tcMar>
              <w:top w:w="120" w:type="dxa"/>
              <w:left w:w="120" w:type="dxa"/>
              <w:bottom w:w="120" w:type="dxa"/>
              <w:right w:w="120" w:type="dxa"/>
            </w:tcMar>
            <w:vAlign w:val="center"/>
          </w:tcPr>
          <w:p w14:paraId="61B19ADE" w14:textId="12BC8AD8" w:rsidR="00245FA4" w:rsidRDefault="00245FA4" w:rsidP="00245FA4">
            <w:pPr>
              <w:spacing w:after="0"/>
              <w:rPr>
                <w:rFonts w:asciiTheme="minorHAnsi" w:hAnsiTheme="minorHAnsi" w:cstheme="minorHAnsi"/>
                <w:sz w:val="22"/>
                <w:szCs w:val="22"/>
              </w:rPr>
            </w:pPr>
            <w:r>
              <w:rPr>
                <w:rFonts w:asciiTheme="minorHAnsi" w:hAnsiTheme="minorHAnsi" w:cstheme="minorHAnsi"/>
                <w:sz w:val="22"/>
                <w:szCs w:val="22"/>
              </w:rPr>
              <w:t>Starting an Australian business</w:t>
            </w:r>
          </w:p>
        </w:tc>
        <w:tc>
          <w:tcPr>
            <w:tcW w:w="915" w:type="pct"/>
            <w:vAlign w:val="center"/>
          </w:tcPr>
          <w:p w14:paraId="758F2756" w14:textId="662746E7" w:rsidR="00245FA4" w:rsidRDefault="00245FA4" w:rsidP="00245FA4">
            <w:pPr>
              <w:spacing w:after="0"/>
              <w:rPr>
                <w:rFonts w:asciiTheme="minorHAnsi" w:hAnsiTheme="minorHAnsi" w:cstheme="minorHAnsi"/>
                <w:sz w:val="22"/>
                <w:szCs w:val="22"/>
              </w:rPr>
            </w:pPr>
            <w:r>
              <w:rPr>
                <w:rFonts w:asciiTheme="minorHAnsi" w:hAnsiTheme="minorHAnsi" w:cstheme="minorHAnsi"/>
                <w:sz w:val="22"/>
                <w:szCs w:val="22"/>
              </w:rPr>
              <w:t>N/A</w:t>
            </w:r>
          </w:p>
        </w:tc>
        <w:tc>
          <w:tcPr>
            <w:tcW w:w="1551" w:type="pct"/>
            <w:tcMar>
              <w:top w:w="120" w:type="dxa"/>
              <w:left w:w="120" w:type="dxa"/>
              <w:bottom w:w="120" w:type="dxa"/>
              <w:right w:w="120" w:type="dxa"/>
            </w:tcMar>
            <w:vAlign w:val="center"/>
          </w:tcPr>
          <w:p w14:paraId="0FE515A4" w14:textId="0BD7E75F" w:rsidR="00245FA4" w:rsidRPr="00385F08" w:rsidRDefault="00245FA4" w:rsidP="00245FA4">
            <w:pPr>
              <w:spacing w:after="0"/>
              <w:rPr>
                <w:rFonts w:asciiTheme="minorHAnsi" w:hAnsiTheme="minorHAnsi" w:cstheme="minorHAnsi"/>
                <w:sz w:val="22"/>
                <w:szCs w:val="22"/>
              </w:rPr>
            </w:pPr>
            <w:r>
              <w:rPr>
                <w:rFonts w:asciiTheme="minorHAnsi" w:hAnsiTheme="minorHAnsi" w:cstheme="minorHAnsi"/>
                <w:sz w:val="22"/>
                <w:szCs w:val="22"/>
              </w:rPr>
              <w:t>N/A</w:t>
            </w:r>
          </w:p>
        </w:tc>
      </w:tr>
      <w:tr w:rsidR="00245FA4" w:rsidRPr="006E0664" w14:paraId="0F4255F3" w14:textId="77777777" w:rsidTr="00F7716A">
        <w:tc>
          <w:tcPr>
            <w:tcW w:w="1004" w:type="pct"/>
            <w:vMerge/>
            <w:tcMar>
              <w:top w:w="120" w:type="dxa"/>
              <w:left w:w="120" w:type="dxa"/>
              <w:bottom w:w="120" w:type="dxa"/>
              <w:right w:w="120" w:type="dxa"/>
            </w:tcMar>
            <w:vAlign w:val="center"/>
          </w:tcPr>
          <w:p w14:paraId="58060A90" w14:textId="77777777" w:rsidR="00245FA4" w:rsidRPr="00385F08" w:rsidRDefault="00245FA4" w:rsidP="00245FA4">
            <w:pPr>
              <w:spacing w:after="0"/>
              <w:rPr>
                <w:rFonts w:asciiTheme="minorHAnsi" w:hAnsiTheme="minorHAnsi" w:cstheme="minorHAnsi"/>
                <w:b/>
                <w:sz w:val="22"/>
                <w:szCs w:val="22"/>
              </w:rPr>
            </w:pPr>
          </w:p>
        </w:tc>
        <w:tc>
          <w:tcPr>
            <w:tcW w:w="1530" w:type="pct"/>
            <w:tcMar>
              <w:top w:w="120" w:type="dxa"/>
              <w:left w:w="120" w:type="dxa"/>
              <w:bottom w:w="120" w:type="dxa"/>
              <w:right w:w="120" w:type="dxa"/>
            </w:tcMar>
            <w:vAlign w:val="center"/>
          </w:tcPr>
          <w:p w14:paraId="7AD016BE" w14:textId="05908A3D" w:rsidR="00245FA4" w:rsidRDefault="00CD07C1" w:rsidP="00245FA4">
            <w:pPr>
              <w:spacing w:after="0"/>
              <w:rPr>
                <w:rFonts w:asciiTheme="minorHAnsi" w:hAnsiTheme="minorHAnsi" w:cstheme="minorHAnsi"/>
                <w:sz w:val="22"/>
                <w:szCs w:val="22"/>
              </w:rPr>
            </w:pPr>
            <w:r>
              <w:rPr>
                <w:rFonts w:asciiTheme="minorHAnsi" w:hAnsiTheme="minorHAnsi" w:cstheme="minorHAnsi"/>
                <w:sz w:val="22"/>
                <w:szCs w:val="22"/>
              </w:rPr>
              <w:t>Mining, production or exploration entities</w:t>
            </w:r>
          </w:p>
        </w:tc>
        <w:tc>
          <w:tcPr>
            <w:tcW w:w="915" w:type="pct"/>
            <w:vAlign w:val="center"/>
          </w:tcPr>
          <w:p w14:paraId="1C056E76" w14:textId="5DAF62F7" w:rsidR="00245FA4" w:rsidRDefault="00300761" w:rsidP="00245FA4">
            <w:pPr>
              <w:spacing w:after="0"/>
              <w:rPr>
                <w:rFonts w:asciiTheme="minorHAnsi" w:hAnsiTheme="minorHAnsi" w:cstheme="minorHAnsi"/>
                <w:sz w:val="22"/>
                <w:szCs w:val="22"/>
              </w:rPr>
            </w:pPr>
            <w:r>
              <w:rPr>
                <w:rFonts w:asciiTheme="minorHAnsi" w:hAnsiTheme="minorHAnsi" w:cstheme="minorHAnsi"/>
                <w:sz w:val="22"/>
                <w:szCs w:val="22"/>
              </w:rPr>
              <w:t>10 per cent or more</w:t>
            </w:r>
          </w:p>
        </w:tc>
        <w:tc>
          <w:tcPr>
            <w:tcW w:w="1551" w:type="pct"/>
            <w:tcMar>
              <w:top w:w="120" w:type="dxa"/>
              <w:left w:w="120" w:type="dxa"/>
              <w:bottom w:w="120" w:type="dxa"/>
              <w:right w:w="120" w:type="dxa"/>
            </w:tcMar>
            <w:vAlign w:val="center"/>
          </w:tcPr>
          <w:p w14:paraId="176B6D07" w14:textId="203C3461" w:rsidR="00245FA4" w:rsidRPr="00385F08" w:rsidRDefault="00300761" w:rsidP="00245FA4">
            <w:pPr>
              <w:spacing w:after="0"/>
              <w:rPr>
                <w:rFonts w:asciiTheme="minorHAnsi" w:hAnsiTheme="minorHAnsi" w:cstheme="minorHAnsi"/>
                <w:sz w:val="22"/>
                <w:szCs w:val="22"/>
              </w:rPr>
            </w:pPr>
            <w:r>
              <w:rPr>
                <w:rFonts w:asciiTheme="minorHAnsi" w:hAnsiTheme="minorHAnsi" w:cstheme="minorHAnsi"/>
                <w:sz w:val="22"/>
                <w:szCs w:val="22"/>
              </w:rPr>
              <w:t>$0 or more</w:t>
            </w:r>
            <w:r w:rsidR="00A372AB">
              <w:rPr>
                <w:rStyle w:val="FootnoteReference"/>
                <w:rFonts w:asciiTheme="minorHAnsi" w:hAnsiTheme="minorHAnsi"/>
                <w:sz w:val="22"/>
                <w:szCs w:val="22"/>
              </w:rPr>
              <w:footnoteReference w:id="18"/>
            </w:r>
          </w:p>
        </w:tc>
      </w:tr>
    </w:tbl>
    <w:p w14:paraId="52F1A27F" w14:textId="77777777" w:rsidR="00221D84" w:rsidRDefault="00221D84"/>
    <w:sectPr w:rsidR="00221D84" w:rsidSect="00277FCC">
      <w:headerReference w:type="even" r:id="rId7"/>
      <w:headerReference w:type="default" r:id="rId8"/>
      <w:footerReference w:type="even" r:id="rId9"/>
      <w:footerReference w:type="default" r:id="rId10"/>
      <w:headerReference w:type="first" r:id="rId11"/>
      <w:footerReference w:type="first" r:id="rId12"/>
      <w:pgSz w:w="11906" w:h="16838"/>
      <w:pgMar w:top="1701" w:right="1701" w:bottom="1021" w:left="1701" w:header="567" w:footer="2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9E0BB" w14:textId="77777777" w:rsidR="006C2BD3" w:rsidRDefault="006C2BD3" w:rsidP="00365023">
      <w:pPr>
        <w:spacing w:after="0"/>
      </w:pPr>
      <w:r>
        <w:separator/>
      </w:r>
    </w:p>
  </w:endnote>
  <w:endnote w:type="continuationSeparator" w:id="0">
    <w:p w14:paraId="7BB8ED79" w14:textId="77777777" w:rsidR="006C2BD3" w:rsidRDefault="006C2BD3" w:rsidP="00365023">
      <w:pPr>
        <w:spacing w:after="0"/>
      </w:pPr>
      <w:r>
        <w:continuationSeparator/>
      </w:r>
    </w:p>
  </w:endnote>
  <w:endnote w:type="continuationNotice" w:id="1">
    <w:p w14:paraId="141D7443" w14:textId="77777777" w:rsidR="006C2BD3" w:rsidRDefault="006C2BD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97B01" w14:textId="165021C6" w:rsidR="008A5131" w:rsidRDefault="008A5131">
    <w:pPr>
      <w:pStyle w:val="Footer"/>
    </w:pPr>
    <w:r>
      <w:rPr>
        <w:noProof/>
      </w:rPr>
      <mc:AlternateContent>
        <mc:Choice Requires="wps">
          <w:drawing>
            <wp:anchor distT="0" distB="0" distL="0" distR="0" simplePos="0" relativeHeight="251667459" behindDoc="0" locked="0" layoutInCell="1" allowOverlap="1" wp14:anchorId="1B2C779B" wp14:editId="691B1EB8">
              <wp:simplePos x="635" y="635"/>
              <wp:positionH relativeFrom="page">
                <wp:align>center</wp:align>
              </wp:positionH>
              <wp:positionV relativeFrom="page">
                <wp:align>bottom</wp:align>
              </wp:positionV>
              <wp:extent cx="551815" cy="376555"/>
              <wp:effectExtent l="0" t="0" r="635" b="0"/>
              <wp:wrapNone/>
              <wp:docPr id="106314049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D2A033C" w14:textId="0FCAFA8E" w:rsidR="008A5131" w:rsidRPr="008A5131" w:rsidRDefault="008A5131" w:rsidP="008A5131">
                          <w:pPr>
                            <w:spacing w:after="0"/>
                            <w:rPr>
                              <w:rFonts w:eastAsia="Calibri" w:cs="Calibri"/>
                              <w:noProof/>
                              <w:color w:val="FF0000"/>
                            </w:rPr>
                          </w:pPr>
                          <w:r w:rsidRPr="008A5131">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2C779B" id="_x0000_t202" coordsize="21600,21600" o:spt="202" path="m,l,21600r21600,l21600,xe">
              <v:stroke joinstyle="miter"/>
              <v:path gradientshapeok="t" o:connecttype="rect"/>
            </v:shapetype>
            <v:shape id="Text Box 5" o:spid="_x0000_s1028" type="#_x0000_t202" alt="OFFICIAL" style="position:absolute;margin-left:0;margin-top:0;width:43.45pt;height:29.65pt;z-index:25166745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3D2A033C" w14:textId="0FCAFA8E" w:rsidR="008A5131" w:rsidRPr="008A5131" w:rsidRDefault="008A5131" w:rsidP="008A5131">
                    <w:pPr>
                      <w:spacing w:after="0"/>
                      <w:rPr>
                        <w:rFonts w:eastAsia="Calibri" w:cs="Calibri"/>
                        <w:noProof/>
                        <w:color w:val="FF0000"/>
                      </w:rPr>
                    </w:pPr>
                    <w:r w:rsidRPr="008A5131">
                      <w:rPr>
                        <w:rFonts w:eastAsia="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CA0A3" w14:textId="6B621ACA" w:rsidR="00252ED5" w:rsidRPr="00252ED5" w:rsidRDefault="008A5131" w:rsidP="00252ED5">
    <w:pPr>
      <w:tabs>
        <w:tab w:val="center" w:pos="7938"/>
      </w:tabs>
      <w:spacing w:before="120" w:after="120"/>
      <w:jc w:val="right"/>
      <w:rPr>
        <w:rFonts w:ascii="Calibri Light" w:hAnsi="Calibri Light"/>
        <w:color w:val="auto"/>
        <w:sz w:val="20"/>
        <w:szCs w:val="20"/>
      </w:rPr>
    </w:pPr>
    <w:r>
      <w:rPr>
        <w:rFonts w:ascii="Calibri Light" w:hAnsi="Calibri Light"/>
        <w:noProof/>
        <w:color w:val="auto"/>
        <w:position w:val="-10"/>
        <w:sz w:val="20"/>
        <w:szCs w:val="20"/>
      </w:rPr>
      <mc:AlternateContent>
        <mc:Choice Requires="wps">
          <w:drawing>
            <wp:anchor distT="0" distB="0" distL="0" distR="0" simplePos="0" relativeHeight="251668483" behindDoc="0" locked="0" layoutInCell="1" allowOverlap="1" wp14:anchorId="2DAAA1DB" wp14:editId="1AACF20F">
              <wp:simplePos x="635" y="635"/>
              <wp:positionH relativeFrom="page">
                <wp:align>center</wp:align>
              </wp:positionH>
              <wp:positionV relativeFrom="page">
                <wp:align>bottom</wp:align>
              </wp:positionV>
              <wp:extent cx="551815" cy="376555"/>
              <wp:effectExtent l="0" t="0" r="635" b="0"/>
              <wp:wrapNone/>
              <wp:docPr id="209768952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465909F" w14:textId="6C6719CB" w:rsidR="008A5131" w:rsidRPr="008A5131" w:rsidRDefault="008A5131" w:rsidP="008A5131">
                          <w:pPr>
                            <w:spacing w:after="0"/>
                            <w:rPr>
                              <w:rFonts w:eastAsia="Calibri" w:cs="Calibri"/>
                              <w:noProof/>
                              <w:color w:val="FF000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AAA1DB"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29.65pt;z-index:25166848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2465909F" w14:textId="6C6719CB" w:rsidR="008A5131" w:rsidRPr="008A5131" w:rsidRDefault="008A5131" w:rsidP="008A5131">
                    <w:pPr>
                      <w:spacing w:after="0"/>
                      <w:rPr>
                        <w:rFonts w:eastAsia="Calibri" w:cs="Calibri"/>
                        <w:noProof/>
                        <w:color w:val="FF0000"/>
                      </w:rPr>
                    </w:pPr>
                  </w:p>
                </w:txbxContent>
              </v:textbox>
              <w10:wrap anchorx="page" anchory="page"/>
            </v:shape>
          </w:pict>
        </mc:Fallback>
      </mc:AlternateContent>
    </w:r>
    <w:r w:rsidR="00252ED5" w:rsidRPr="00154846">
      <w:rPr>
        <w:rFonts w:ascii="Calibri Light" w:hAnsi="Calibri Light"/>
        <w:noProof/>
        <w:color w:val="auto"/>
        <w:position w:val="-10"/>
        <w:sz w:val="20"/>
        <w:szCs w:val="20"/>
      </w:rPr>
      <w:drawing>
        <wp:inline distT="0" distB="0" distL="0" distR="0" wp14:anchorId="213B5406" wp14:editId="7C13369A">
          <wp:extent cx="2178000" cy="201600"/>
          <wp:effectExtent l="0" t="0" r="0" b="825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78000" cy="201600"/>
                  </a:xfrm>
                  <a:prstGeom prst="rect">
                    <a:avLst/>
                  </a:prstGeom>
                </pic:spPr>
              </pic:pic>
            </a:graphicData>
          </a:graphic>
        </wp:inline>
      </w:drawing>
    </w:r>
    <w:r w:rsidR="00252ED5" w:rsidRPr="00154846">
      <w:rPr>
        <w:rFonts w:ascii="Calibri Light" w:hAnsi="Calibri Light"/>
        <w:color w:val="auto"/>
        <w:sz w:val="20"/>
        <w:szCs w:val="20"/>
      </w:rPr>
      <w:tab/>
    </w:r>
    <w:r w:rsidR="00A10BCE" w:rsidRPr="00154846">
      <w:rPr>
        <w:rFonts w:ascii="Calibri Light" w:hAnsi="Calibri Light"/>
        <w:color w:val="auto"/>
        <w:sz w:val="20"/>
        <w:szCs w:val="20"/>
      </w:rPr>
      <w:t xml:space="preserve">Last updated </w:t>
    </w:r>
    <w:r w:rsidR="00831015" w:rsidRPr="00154846">
      <w:rPr>
        <w:rFonts w:ascii="Calibri Light" w:hAnsi="Calibri Light"/>
        <w:color w:val="auto"/>
        <w:sz w:val="20"/>
        <w:szCs w:val="20"/>
      </w:rPr>
      <w:t>2</w:t>
    </w:r>
    <w:r w:rsidR="00154846" w:rsidRPr="00154846">
      <w:rPr>
        <w:rFonts w:ascii="Calibri Light" w:hAnsi="Calibri Light"/>
        <w:color w:val="auto"/>
        <w:sz w:val="20"/>
        <w:szCs w:val="20"/>
      </w:rPr>
      <w:t xml:space="preserve"> January</w:t>
    </w:r>
    <w:r w:rsidR="00A10BCE" w:rsidRPr="00154846">
      <w:rPr>
        <w:rFonts w:ascii="Calibri Light" w:hAnsi="Calibri Light"/>
        <w:color w:val="auto"/>
        <w:sz w:val="20"/>
        <w:szCs w:val="20"/>
      </w:rPr>
      <w:t>202</w:t>
    </w:r>
    <w:r w:rsidR="004F6CB3" w:rsidRPr="00154846">
      <w:rPr>
        <w:rFonts w:ascii="Calibri Light" w:hAnsi="Calibri Light"/>
        <w:color w:val="auto"/>
        <w:sz w:val="20"/>
        <w:szCs w:val="20"/>
      </w:rPr>
      <w:t>6</w:t>
    </w:r>
    <w:r w:rsidR="00A10BCE" w:rsidRPr="00154846">
      <w:rPr>
        <w:rFonts w:ascii="Calibri Light" w:hAnsi="Calibri Light"/>
        <w:color w:val="auto"/>
        <w:sz w:val="20"/>
        <w:szCs w:val="20"/>
      </w:rPr>
      <w:t xml:space="preserve"> </w:t>
    </w:r>
    <w:r w:rsidR="00252ED5" w:rsidRPr="00154846">
      <w:rPr>
        <w:rFonts w:ascii="Calibri Light" w:hAnsi="Calibri Light"/>
        <w:color w:val="auto"/>
        <w:sz w:val="20"/>
        <w:szCs w:val="20"/>
      </w:rPr>
      <w:t xml:space="preserve">| </w:t>
    </w:r>
    <w:r w:rsidR="00252ED5" w:rsidRPr="00154846">
      <w:rPr>
        <w:rFonts w:ascii="Calibri Light" w:hAnsi="Calibri Light"/>
        <w:color w:val="auto"/>
        <w:sz w:val="20"/>
        <w:szCs w:val="20"/>
      </w:rPr>
      <w:fldChar w:fldCharType="begin"/>
    </w:r>
    <w:r w:rsidR="00252ED5" w:rsidRPr="00154846">
      <w:rPr>
        <w:rFonts w:ascii="Calibri Light" w:hAnsi="Calibri Light"/>
        <w:color w:val="auto"/>
        <w:sz w:val="20"/>
        <w:szCs w:val="20"/>
      </w:rPr>
      <w:instrText xml:space="preserve"> PAGE   \* MERGEFORMAT </w:instrText>
    </w:r>
    <w:r w:rsidR="00252ED5" w:rsidRPr="00154846">
      <w:rPr>
        <w:rFonts w:ascii="Calibri Light" w:hAnsi="Calibri Light"/>
        <w:color w:val="auto"/>
        <w:sz w:val="20"/>
        <w:szCs w:val="20"/>
      </w:rPr>
      <w:fldChar w:fldCharType="separate"/>
    </w:r>
    <w:r w:rsidR="00252ED5" w:rsidRPr="00154846">
      <w:rPr>
        <w:rFonts w:ascii="Calibri Light" w:hAnsi="Calibri Light"/>
        <w:color w:val="auto"/>
        <w:sz w:val="20"/>
        <w:szCs w:val="20"/>
      </w:rPr>
      <w:t>1</w:t>
    </w:r>
    <w:r w:rsidR="00252ED5" w:rsidRPr="00154846">
      <w:rPr>
        <w:rFonts w:ascii="Calibri Light" w:hAnsi="Calibri Light"/>
        <w:color w:val="auto"/>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B8346" w14:textId="2A5E0A35" w:rsidR="00D54B18" w:rsidRPr="00252ED5" w:rsidRDefault="008A5131" w:rsidP="00D54B18">
    <w:pPr>
      <w:tabs>
        <w:tab w:val="center" w:pos="7938"/>
      </w:tabs>
      <w:spacing w:before="120" w:after="120"/>
      <w:jc w:val="right"/>
      <w:rPr>
        <w:rFonts w:ascii="Calibri Light" w:hAnsi="Calibri Light"/>
        <w:color w:val="auto"/>
        <w:sz w:val="20"/>
        <w:szCs w:val="20"/>
      </w:rPr>
    </w:pPr>
    <w:r>
      <w:rPr>
        <w:rFonts w:ascii="Calibri Light" w:hAnsi="Calibri Light"/>
        <w:noProof/>
        <w:color w:val="auto"/>
        <w:position w:val="-10"/>
        <w:sz w:val="20"/>
        <w:szCs w:val="20"/>
      </w:rPr>
      <mc:AlternateContent>
        <mc:Choice Requires="wps">
          <w:drawing>
            <wp:anchor distT="0" distB="0" distL="0" distR="0" simplePos="0" relativeHeight="251666435" behindDoc="0" locked="0" layoutInCell="1" allowOverlap="1" wp14:anchorId="74BA4B39" wp14:editId="635EB97B">
              <wp:simplePos x="635" y="635"/>
              <wp:positionH relativeFrom="page">
                <wp:align>center</wp:align>
              </wp:positionH>
              <wp:positionV relativeFrom="page">
                <wp:align>bottom</wp:align>
              </wp:positionV>
              <wp:extent cx="551815" cy="376555"/>
              <wp:effectExtent l="0" t="0" r="635" b="0"/>
              <wp:wrapNone/>
              <wp:docPr id="60077857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B1C4128" w14:textId="508BC83C" w:rsidR="008A5131" w:rsidRPr="008A5131" w:rsidRDefault="008A5131" w:rsidP="008A5131">
                          <w:pPr>
                            <w:spacing w:after="0"/>
                            <w:rPr>
                              <w:rFonts w:eastAsia="Calibri" w:cs="Calibri"/>
                              <w:noProof/>
                              <w:color w:val="FF000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BA4B39"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29.65pt;z-index:25166643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7B1C4128" w14:textId="508BC83C" w:rsidR="008A5131" w:rsidRPr="008A5131" w:rsidRDefault="008A5131" w:rsidP="008A5131">
                    <w:pPr>
                      <w:spacing w:after="0"/>
                      <w:rPr>
                        <w:rFonts w:eastAsia="Calibri" w:cs="Calibri"/>
                        <w:noProof/>
                        <w:color w:val="FF0000"/>
                      </w:rPr>
                    </w:pPr>
                  </w:p>
                </w:txbxContent>
              </v:textbox>
              <w10:wrap anchorx="page" anchory="page"/>
            </v:shape>
          </w:pict>
        </mc:Fallback>
      </mc:AlternateContent>
    </w:r>
    <w:r w:rsidR="00D54B18" w:rsidRPr="00154846">
      <w:rPr>
        <w:rFonts w:ascii="Calibri Light" w:hAnsi="Calibri Light"/>
        <w:noProof/>
        <w:color w:val="auto"/>
        <w:position w:val="-10"/>
        <w:sz w:val="20"/>
        <w:szCs w:val="20"/>
      </w:rPr>
      <w:drawing>
        <wp:inline distT="0" distB="0" distL="0" distR="0" wp14:anchorId="1BD7D77E" wp14:editId="4272C60E">
          <wp:extent cx="2178000" cy="201600"/>
          <wp:effectExtent l="0" t="0" r="0" b="8255"/>
          <wp:docPr id="102972386" name="Picture 10297238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78000" cy="201600"/>
                  </a:xfrm>
                  <a:prstGeom prst="rect">
                    <a:avLst/>
                  </a:prstGeom>
                </pic:spPr>
              </pic:pic>
            </a:graphicData>
          </a:graphic>
        </wp:inline>
      </w:drawing>
    </w:r>
    <w:r w:rsidR="00D54B18" w:rsidRPr="00154846">
      <w:rPr>
        <w:rFonts w:ascii="Calibri Light" w:hAnsi="Calibri Light"/>
        <w:color w:val="auto"/>
        <w:sz w:val="20"/>
        <w:szCs w:val="20"/>
      </w:rPr>
      <w:tab/>
    </w:r>
    <w:r w:rsidR="00A10BCE" w:rsidRPr="00154846">
      <w:rPr>
        <w:rFonts w:ascii="Calibri Light" w:hAnsi="Calibri Light"/>
        <w:color w:val="auto"/>
        <w:sz w:val="20"/>
        <w:szCs w:val="20"/>
      </w:rPr>
      <w:t xml:space="preserve">Last updated </w:t>
    </w:r>
    <w:r w:rsidR="00831015" w:rsidRPr="00154846">
      <w:rPr>
        <w:rFonts w:ascii="Calibri Light" w:hAnsi="Calibri Light"/>
        <w:color w:val="auto"/>
        <w:sz w:val="20"/>
        <w:szCs w:val="20"/>
      </w:rPr>
      <w:t xml:space="preserve">2 January </w:t>
    </w:r>
    <w:r w:rsidR="00D54B18" w:rsidRPr="00154846">
      <w:rPr>
        <w:rFonts w:ascii="Calibri Light" w:hAnsi="Calibri Light"/>
        <w:color w:val="auto"/>
        <w:sz w:val="20"/>
        <w:szCs w:val="20"/>
      </w:rPr>
      <w:t>202</w:t>
    </w:r>
    <w:r w:rsidR="004F6CB3" w:rsidRPr="00154846">
      <w:rPr>
        <w:rFonts w:ascii="Calibri Light" w:hAnsi="Calibri Light"/>
        <w:color w:val="auto"/>
        <w:sz w:val="20"/>
        <w:szCs w:val="20"/>
      </w:rPr>
      <w:t>6</w:t>
    </w:r>
    <w:r w:rsidR="00D54B18" w:rsidRPr="00154846">
      <w:rPr>
        <w:rFonts w:ascii="Calibri Light" w:hAnsi="Calibri Light"/>
        <w:color w:val="auto"/>
        <w:sz w:val="20"/>
        <w:szCs w:val="20"/>
      </w:rPr>
      <w:t xml:space="preserve"> | </w:t>
    </w:r>
    <w:r w:rsidR="00D54B18" w:rsidRPr="00154846">
      <w:rPr>
        <w:rFonts w:ascii="Calibri Light" w:hAnsi="Calibri Light"/>
        <w:color w:val="auto"/>
        <w:sz w:val="20"/>
        <w:szCs w:val="20"/>
      </w:rPr>
      <w:fldChar w:fldCharType="begin"/>
    </w:r>
    <w:r w:rsidR="00D54B18" w:rsidRPr="00154846">
      <w:rPr>
        <w:rFonts w:ascii="Calibri Light" w:hAnsi="Calibri Light"/>
        <w:color w:val="auto"/>
        <w:sz w:val="20"/>
        <w:szCs w:val="20"/>
      </w:rPr>
      <w:instrText xml:space="preserve"> PAGE   \* MERGEFORMAT </w:instrText>
    </w:r>
    <w:r w:rsidR="00D54B18" w:rsidRPr="00154846">
      <w:rPr>
        <w:rFonts w:ascii="Calibri Light" w:hAnsi="Calibri Light"/>
        <w:color w:val="auto"/>
        <w:sz w:val="20"/>
        <w:szCs w:val="20"/>
      </w:rPr>
      <w:fldChar w:fldCharType="separate"/>
    </w:r>
    <w:r w:rsidR="00D54B18" w:rsidRPr="00154846">
      <w:rPr>
        <w:sz w:val="20"/>
      </w:rPr>
      <w:t>2</w:t>
    </w:r>
    <w:r w:rsidR="00D54B18" w:rsidRPr="00154846">
      <w:rPr>
        <w:rFonts w:ascii="Calibri Light" w:hAnsi="Calibri Light"/>
        <w:color w:val="auto"/>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6575E" w14:textId="77777777" w:rsidR="006C2BD3" w:rsidRDefault="006C2BD3" w:rsidP="00365023">
      <w:pPr>
        <w:spacing w:after="0"/>
      </w:pPr>
      <w:r>
        <w:separator/>
      </w:r>
    </w:p>
  </w:footnote>
  <w:footnote w:type="continuationSeparator" w:id="0">
    <w:p w14:paraId="641B6ED7" w14:textId="77777777" w:rsidR="006C2BD3" w:rsidRDefault="006C2BD3" w:rsidP="00365023">
      <w:pPr>
        <w:spacing w:after="0"/>
      </w:pPr>
      <w:r>
        <w:continuationSeparator/>
      </w:r>
    </w:p>
  </w:footnote>
  <w:footnote w:type="continuationNotice" w:id="1">
    <w:p w14:paraId="18766DD6" w14:textId="77777777" w:rsidR="006C2BD3" w:rsidRDefault="006C2BD3">
      <w:pPr>
        <w:spacing w:after="0"/>
      </w:pPr>
    </w:p>
  </w:footnote>
  <w:footnote w:id="2">
    <w:p w14:paraId="52C10EDB" w14:textId="22E290F0" w:rsidR="007D6C5B" w:rsidRDefault="007D6C5B" w:rsidP="00332D03">
      <w:pPr>
        <w:pStyle w:val="FootnoteText"/>
        <w:jc w:val="both"/>
      </w:pPr>
      <w:r>
        <w:rPr>
          <w:rStyle w:val="FootnoteReference"/>
        </w:rPr>
        <w:footnoteRef/>
      </w:r>
      <w:r>
        <w:t xml:space="preserve"> </w:t>
      </w:r>
      <w:r w:rsidR="00406FDC">
        <w:tab/>
      </w:r>
      <w:r w:rsidR="00406FDC" w:rsidRPr="00406FDC">
        <w:t xml:space="preserve">Monetary thresholds are indexed annually on 1 January, except for the more than $15 million (cumulative) </w:t>
      </w:r>
      <w:proofErr w:type="gramStart"/>
      <w:r w:rsidR="00406FDC" w:rsidRPr="00406FDC">
        <w:t>threshold</w:t>
      </w:r>
      <w:proofErr w:type="gramEnd"/>
      <w:r w:rsidR="00406FDC" w:rsidRPr="00406FDC">
        <w:t xml:space="preserve"> for agricultural land and the more than $50 million threshold for agricultural land for Thailand investors, which are not indexed.</w:t>
      </w:r>
    </w:p>
  </w:footnote>
  <w:footnote w:id="3">
    <w:p w14:paraId="3A85723F" w14:textId="6FA30FF9" w:rsidR="004C0EF1" w:rsidRDefault="004C0EF1" w:rsidP="00332D03">
      <w:pPr>
        <w:pStyle w:val="FootnoteText"/>
        <w:jc w:val="both"/>
      </w:pPr>
      <w:r>
        <w:rPr>
          <w:rStyle w:val="FootnoteReference"/>
        </w:rPr>
        <w:footnoteRef/>
      </w:r>
      <w:r>
        <w:t xml:space="preserve"> </w:t>
      </w:r>
      <w:r>
        <w:tab/>
        <w:t xml:space="preserve">The monetary threshold test </w:t>
      </w:r>
      <w:r w:rsidR="000A3D4F">
        <w:t>is</w:t>
      </w:r>
      <w:r>
        <w:t xml:space="preserve"> met in relation to an acquisition of an interest in a land entity if the acquisition meets the monetary threshold </w:t>
      </w:r>
      <w:r w:rsidR="00676B4A">
        <w:t xml:space="preserve">test in relation to the entity </w:t>
      </w:r>
      <w:r w:rsidR="00D15E29">
        <w:t xml:space="preserve">action </w:t>
      </w:r>
      <w:r w:rsidR="00676B4A">
        <w:t xml:space="preserve">or the land </w:t>
      </w:r>
      <w:r w:rsidR="00D15E29">
        <w:t>action</w:t>
      </w:r>
      <w:r w:rsidR="00676B4A">
        <w:t xml:space="preserve"> (see subsection 53(2) of </w:t>
      </w:r>
      <w:r w:rsidR="00676B4A" w:rsidRPr="00B10F1C">
        <w:t xml:space="preserve">the </w:t>
      </w:r>
      <w:r w:rsidR="00676B4A">
        <w:rPr>
          <w:i/>
          <w:iCs/>
        </w:rPr>
        <w:t>Foreign Acquisitions and Takeovers Act 1975</w:t>
      </w:r>
      <w:r w:rsidR="00676B4A">
        <w:t xml:space="preserve"> (</w:t>
      </w:r>
      <w:r w:rsidR="00676B4A" w:rsidRPr="00197F4B">
        <w:rPr>
          <w:b/>
          <w:bCs/>
        </w:rPr>
        <w:t>FATA</w:t>
      </w:r>
      <w:r w:rsidR="00676B4A">
        <w:t>)</w:t>
      </w:r>
      <w:r w:rsidR="002C1D2E">
        <w:t>).</w:t>
      </w:r>
    </w:p>
  </w:footnote>
  <w:footnote w:id="4">
    <w:p w14:paraId="2ACB7F08" w14:textId="283A34CB" w:rsidR="001C1814" w:rsidRPr="00B10F1C" w:rsidRDefault="001C1814" w:rsidP="00332D03">
      <w:pPr>
        <w:pStyle w:val="FootnoteText"/>
        <w:jc w:val="both"/>
      </w:pPr>
      <w:r w:rsidRPr="00B10F1C">
        <w:rPr>
          <w:rStyle w:val="FootnoteReference"/>
        </w:rPr>
        <w:footnoteRef/>
      </w:r>
      <w:r w:rsidRPr="00B10F1C">
        <w:t xml:space="preserve"> </w:t>
      </w:r>
      <w:r w:rsidRPr="00B10F1C">
        <w:tab/>
        <w:t xml:space="preserve">“Interest in Australian land” is defined in section 12 of </w:t>
      </w:r>
      <w:r w:rsidR="002C1D2E">
        <w:t>the FATA.</w:t>
      </w:r>
    </w:p>
  </w:footnote>
  <w:footnote w:id="5">
    <w:p w14:paraId="5DCE0214" w14:textId="2E6ECF95" w:rsidR="000C5E6D" w:rsidRPr="00B10F1C" w:rsidRDefault="000C5E6D" w:rsidP="00154846">
      <w:pPr>
        <w:pStyle w:val="FootnoteText"/>
        <w:jc w:val="both"/>
      </w:pPr>
      <w:r w:rsidRPr="00B10F1C">
        <w:rPr>
          <w:rStyle w:val="FootnoteReference"/>
        </w:rPr>
        <w:footnoteRef/>
      </w:r>
      <w:r w:rsidRPr="00B10F1C">
        <w:t xml:space="preserve"> </w:t>
      </w:r>
      <w:r w:rsidRPr="00B10F1C">
        <w:tab/>
        <w:t>The certain FTA partners are: Chile, China, Hong Kong, Japan, New Zealand, Peru, Singapore, the Republic of Korea, the United States of America, the United Kingdom and any other countries not otherwise listed (other than Australia) for which the Comprehensive and Progressive Agreement for Trans</w:t>
      </w:r>
      <w:r w:rsidRPr="00B10F1C">
        <w:noBreakHyphen/>
        <w:t>Pacific Partnership (</w:t>
      </w:r>
      <w:r w:rsidRPr="00154846">
        <w:rPr>
          <w:b/>
        </w:rPr>
        <w:t>CPTPP</w:t>
      </w:r>
      <w:r w:rsidRPr="00B10F1C">
        <w:t xml:space="preserve">), done at Santiago on 8 March 2018, is in force (i.e. </w:t>
      </w:r>
      <w:r w:rsidR="00AF74BC">
        <w:t>Brunei</w:t>
      </w:r>
      <w:r w:rsidR="00993E19" w:rsidRPr="00993E19">
        <w:rPr>
          <w:rFonts w:ascii="Segoe UI" w:hAnsi="Segoe UI" w:cs="Segoe UI"/>
          <w:color w:val="313131"/>
          <w:sz w:val="24"/>
          <w:szCs w:val="24"/>
          <w:shd w:val="clear" w:color="auto" w:fill="FFFFFF"/>
        </w:rPr>
        <w:t xml:space="preserve"> </w:t>
      </w:r>
      <w:r w:rsidR="00993E19" w:rsidRPr="00993E19">
        <w:t>Darussalam</w:t>
      </w:r>
      <w:r w:rsidR="00AF74BC">
        <w:t xml:space="preserve">, </w:t>
      </w:r>
      <w:r w:rsidRPr="00B10F1C">
        <w:t>Canada, Mexico, Malaysia and Vietnam)</w:t>
      </w:r>
      <w:r w:rsidRPr="00154846">
        <w:t>. To be eligible for these thresholds, the immediate acquirer must be an entity formed in one of these countries. An investor acquiring through a subsidiary incorporated in another jurisdiction will be subject to the relevant thresholds of the subsidiary’s jurisdiction.</w:t>
      </w:r>
    </w:p>
  </w:footnote>
  <w:footnote w:id="6">
    <w:p w14:paraId="4332A311" w14:textId="1520CD23" w:rsidR="005E13DB" w:rsidRPr="00B10F1C" w:rsidRDefault="005E13DB" w:rsidP="00154846">
      <w:pPr>
        <w:pStyle w:val="FootnoteText"/>
        <w:jc w:val="both"/>
      </w:pPr>
      <w:r w:rsidRPr="00B10F1C">
        <w:rPr>
          <w:rStyle w:val="FootnoteReference"/>
        </w:rPr>
        <w:footnoteRef/>
      </w:r>
      <w:r w:rsidRPr="00B10F1C">
        <w:t xml:space="preserve"> </w:t>
      </w:r>
      <w:r w:rsidRPr="00B10F1C">
        <w:tab/>
        <w:t>For Hong Kong investors</w:t>
      </w:r>
      <w:r w:rsidR="00030285">
        <w:t>,</w:t>
      </w:r>
      <w:r w:rsidRPr="00B10F1C">
        <w:t xml:space="preserve"> however, where developed commercial land is also sensitive land (see subsections 52(5) and (6) of the </w:t>
      </w:r>
      <w:r w:rsidRPr="00B10F1C">
        <w:rPr>
          <w:i/>
          <w:iCs/>
        </w:rPr>
        <w:t>Foreign Acquisitions and Takeovers Regulation 2015</w:t>
      </w:r>
      <w:r w:rsidR="00592405">
        <w:t xml:space="preserve"> (</w:t>
      </w:r>
      <w:r w:rsidR="00592405" w:rsidRPr="0054554A">
        <w:rPr>
          <w:b/>
          <w:bCs/>
        </w:rPr>
        <w:t>FATR</w:t>
      </w:r>
      <w:r w:rsidR="00592405">
        <w:t>)</w:t>
      </w:r>
      <w:r w:rsidRPr="00B10F1C">
        <w:t>), a threshold of $7</w:t>
      </w:r>
      <w:r w:rsidR="00E05E8C">
        <w:t>5</w:t>
      </w:r>
      <w:r w:rsidRPr="00B10F1C">
        <w:t xml:space="preserve"> million will apply. </w:t>
      </w:r>
    </w:p>
  </w:footnote>
  <w:footnote w:id="7">
    <w:p w14:paraId="08A69FF1" w14:textId="523455BC" w:rsidR="000C5E6D" w:rsidRPr="00B10F1C" w:rsidRDefault="000C5E6D" w:rsidP="00154846">
      <w:pPr>
        <w:pStyle w:val="FootnoteText"/>
        <w:jc w:val="both"/>
      </w:pPr>
      <w:r w:rsidRPr="00B10F1C">
        <w:rPr>
          <w:rStyle w:val="FootnoteReference"/>
        </w:rPr>
        <w:footnoteRef/>
      </w:r>
      <w:r w:rsidRPr="00B10F1C">
        <w:t xml:space="preserve"> </w:t>
      </w:r>
      <w:r w:rsidRPr="00B10F1C">
        <w:tab/>
      </w:r>
      <w:r w:rsidRPr="00B10F1C" w:rsidDel="008D0E87">
        <w:t>Sensitive d</w:t>
      </w:r>
      <w:r w:rsidRPr="00B10F1C">
        <w:t>eveloped commercial land</w:t>
      </w:r>
      <w:r w:rsidR="00902DCE">
        <w:t xml:space="preserve"> </w:t>
      </w:r>
      <w:r w:rsidRPr="00B10F1C">
        <w:t xml:space="preserve">(see subsection 52(6) of the </w:t>
      </w:r>
      <w:r w:rsidR="00CA7DB6" w:rsidRPr="00B10F1C">
        <w:t>FATR</w:t>
      </w:r>
      <w:r w:rsidRPr="00B10F1C">
        <w:t>)</w:t>
      </w:r>
      <w:r w:rsidR="001220CA">
        <w:t xml:space="preserve"> includes</w:t>
      </w:r>
      <w:r w:rsidRPr="00B10F1C">
        <w:t>:</w:t>
      </w:r>
      <w:r w:rsidR="0080090F">
        <w:t xml:space="preserve"> land leased to the Commonwealth or a State or Territory government or government body;</w:t>
      </w:r>
      <w:r w:rsidR="009F7DCF">
        <w:t xml:space="preserve"> land </w:t>
      </w:r>
      <w:r w:rsidR="00770521">
        <w:t>fitted out for sensitive or bulk data storage businesses;</w:t>
      </w:r>
      <w:r w:rsidR="00F145BF">
        <w:t xml:space="preserve"> land fitted out for the storage, handling or disposal of security-sensitive biological agents; </w:t>
      </w:r>
      <w:r w:rsidR="009A439E">
        <w:t xml:space="preserve">land on which there is a mining operation; </w:t>
      </w:r>
      <w:r w:rsidR="00CC31A6">
        <w:t xml:space="preserve">some land on which information is stored or on which </w:t>
      </w:r>
      <w:r w:rsidR="004F3E0F">
        <w:t xml:space="preserve">there are </w:t>
      </w:r>
      <w:r w:rsidR="00CC31A6">
        <w:t xml:space="preserve">telecommunications </w:t>
      </w:r>
      <w:r w:rsidR="004F3E0F">
        <w:t>transmission facilities</w:t>
      </w:r>
      <w:r w:rsidR="00CC31A6">
        <w:t>;</w:t>
      </w:r>
      <w:r w:rsidRPr="00B10F1C">
        <w:t xml:space="preserve"> and </w:t>
      </w:r>
      <w:r w:rsidR="00176800">
        <w:t>public</w:t>
      </w:r>
      <w:r w:rsidR="00176800" w:rsidRPr="00B10F1C">
        <w:t xml:space="preserve"> </w:t>
      </w:r>
      <w:r w:rsidRPr="00B10F1C">
        <w:t>infrastructure (for example, an airport or port).</w:t>
      </w:r>
    </w:p>
  </w:footnote>
  <w:footnote w:id="8">
    <w:p w14:paraId="25E5FA8B" w14:textId="346F4A96" w:rsidR="000C5E6D" w:rsidRPr="00B10F1C" w:rsidRDefault="000C5E6D" w:rsidP="00154846">
      <w:pPr>
        <w:pStyle w:val="FootnoteText"/>
        <w:jc w:val="both"/>
      </w:pPr>
      <w:r w:rsidRPr="00B10F1C">
        <w:rPr>
          <w:rStyle w:val="FootnoteReference"/>
        </w:rPr>
        <w:footnoteRef/>
      </w:r>
      <w:r w:rsidRPr="00B10F1C">
        <w:t xml:space="preserve"> </w:t>
      </w:r>
      <w:r w:rsidRPr="00B10F1C">
        <w:tab/>
        <w:t xml:space="preserve">This applies to developed commercial land acquired predominantly for the supply of a service through a commercial presence in Australia (see subsection 52(5), table item 3A of </w:t>
      </w:r>
      <w:r w:rsidR="006C5B03" w:rsidRPr="00B10F1C">
        <w:t>the FATR</w:t>
      </w:r>
      <w:r w:rsidRPr="00B10F1C">
        <w:t>).</w:t>
      </w:r>
    </w:p>
  </w:footnote>
  <w:footnote w:id="9">
    <w:p w14:paraId="44207FED" w14:textId="472A7875" w:rsidR="007A53AA" w:rsidRDefault="007A53AA">
      <w:pPr>
        <w:pStyle w:val="FootnoteText"/>
      </w:pPr>
      <w:r>
        <w:rPr>
          <w:rStyle w:val="FootnoteReference"/>
        </w:rPr>
        <w:footnoteRef/>
      </w:r>
      <w:r>
        <w:t xml:space="preserve"> </w:t>
      </w:r>
      <w:r w:rsidR="00264D70">
        <w:tab/>
      </w:r>
      <w:r w:rsidR="00264D70" w:rsidRPr="00264D70">
        <w:t xml:space="preserve">Where two or more parties are </w:t>
      </w:r>
      <w:r w:rsidR="00185514">
        <w:t>“</w:t>
      </w:r>
      <w:r w:rsidR="00264D70" w:rsidRPr="00264D70">
        <w:t>associates</w:t>
      </w:r>
      <w:r w:rsidR="00185514">
        <w:t>”</w:t>
      </w:r>
      <w:r w:rsidR="00264D70" w:rsidRPr="00264D70">
        <w:t xml:space="preserve"> under section 6 of the FATA, their interests in a business (section 16A) or entity (section 17) are taken together for the purpose of assessing whether an interest of a specified percentage, including a direct or substantial interest, is acquired. See </w:t>
      </w:r>
      <w:r w:rsidR="00EC0D54">
        <w:t xml:space="preserve">also </w:t>
      </w:r>
      <w:r w:rsidR="00264D70" w:rsidRPr="00264D70">
        <w:t xml:space="preserve">footnote </w:t>
      </w:r>
      <w:r w:rsidR="00EC0D54">
        <w:fldChar w:fldCharType="begin"/>
      </w:r>
      <w:r w:rsidR="00EC0D54">
        <w:instrText xml:space="preserve"> NOTEREF _Ref194575917 \h </w:instrText>
      </w:r>
      <w:r w:rsidR="00EC0D54">
        <w:fldChar w:fldCharType="separate"/>
      </w:r>
      <w:r w:rsidR="00683DBB">
        <w:t>15</w:t>
      </w:r>
      <w:r w:rsidR="00EC0D54">
        <w:fldChar w:fldCharType="end"/>
      </w:r>
      <w:r w:rsidR="00264D70" w:rsidRPr="00264D70">
        <w:t>.</w:t>
      </w:r>
    </w:p>
  </w:footnote>
  <w:footnote w:id="10">
    <w:p w14:paraId="538C7DD3" w14:textId="5306D34F" w:rsidR="001C1814" w:rsidRPr="00B10F1C" w:rsidRDefault="001C1814" w:rsidP="00332D03">
      <w:pPr>
        <w:pStyle w:val="FootnoteText"/>
        <w:jc w:val="both"/>
      </w:pPr>
      <w:r w:rsidRPr="00B10F1C">
        <w:rPr>
          <w:rStyle w:val="FootnoteReference"/>
        </w:rPr>
        <w:footnoteRef/>
      </w:r>
      <w:r w:rsidRPr="00B10F1C">
        <w:t xml:space="preserve"> </w:t>
      </w:r>
      <w:r w:rsidRPr="00B10F1C">
        <w:tab/>
        <w:t>“Direct interest</w:t>
      </w:r>
      <w:r w:rsidR="00CD0595">
        <w:t>”</w:t>
      </w:r>
      <w:r w:rsidRPr="00B10F1C">
        <w:t xml:space="preserve"> in an entity or business is defined by section 16 of the FATR.</w:t>
      </w:r>
      <w:r w:rsidR="00BD7DE0">
        <w:t xml:space="preserve"> </w:t>
      </w:r>
      <w:r w:rsidR="006C35E9">
        <w:t>A direct interest</w:t>
      </w:r>
      <w:r w:rsidR="00CD0595">
        <w:t xml:space="preserve"> is generally an interest of</w:t>
      </w:r>
      <w:r w:rsidR="00D6093F">
        <w:t xml:space="preserve"> at least</w:t>
      </w:r>
      <w:r w:rsidR="00CD0595">
        <w:t xml:space="preserve"> </w:t>
      </w:r>
      <w:r w:rsidR="006C35E9">
        <w:t xml:space="preserve">10 per cent, </w:t>
      </w:r>
      <w:r w:rsidR="00E477A5">
        <w:t xml:space="preserve">though a lower percentage </w:t>
      </w:r>
      <w:r w:rsidR="00D6093F">
        <w:t>holding may also be a direct interest in certain circumstances.</w:t>
      </w:r>
      <w:r w:rsidR="00BD7DE0">
        <w:t xml:space="preserve"> </w:t>
      </w:r>
    </w:p>
  </w:footnote>
  <w:footnote w:id="11">
    <w:p w14:paraId="244DB7B7" w14:textId="7C201624" w:rsidR="001C1814" w:rsidRPr="00B10F1C" w:rsidRDefault="001C1814" w:rsidP="00332D03">
      <w:pPr>
        <w:pStyle w:val="FootnoteText"/>
        <w:jc w:val="both"/>
      </w:pPr>
      <w:r w:rsidRPr="00B10F1C">
        <w:rPr>
          <w:rStyle w:val="FootnoteReference"/>
        </w:rPr>
        <w:footnoteRef/>
      </w:r>
      <w:r w:rsidRPr="00B10F1C">
        <w:t xml:space="preserve"> </w:t>
      </w:r>
      <w:r w:rsidRPr="00B10F1C">
        <w:tab/>
        <w:t xml:space="preserve">See subsection 55B(1)(e) of the FATA and section 27B of the FATR. </w:t>
      </w:r>
    </w:p>
  </w:footnote>
  <w:footnote w:id="12">
    <w:p w14:paraId="7B528F14" w14:textId="73FE0A40" w:rsidR="008D7623" w:rsidRPr="00B10F1C" w:rsidRDefault="008D7623" w:rsidP="00154846">
      <w:pPr>
        <w:pStyle w:val="FootnoteText"/>
        <w:jc w:val="both"/>
      </w:pPr>
      <w:r w:rsidRPr="00B10F1C">
        <w:rPr>
          <w:rStyle w:val="FootnoteReference"/>
        </w:rPr>
        <w:footnoteRef/>
      </w:r>
      <w:r w:rsidRPr="00B10F1C">
        <w:t xml:space="preserve"> </w:t>
      </w:r>
      <w:r w:rsidRPr="00B10F1C">
        <w:tab/>
        <w:t>The certain FTA partners are: Chile, China, Hong Kong, Japan, New Zealand, Peru, Singapore, the Republic of Korea, the United States of America, the United Kingdom and any other countries not otherwise listed (other than Australia) for which the Comprehensive and Progressive Agreement for Trans</w:t>
      </w:r>
      <w:r w:rsidRPr="00B10F1C">
        <w:noBreakHyphen/>
        <w:t xml:space="preserve">Pacific Partnership (CPTPP), done at Santiago on 8 March 2018, is in force (i.e. </w:t>
      </w:r>
      <w:r w:rsidR="006E3466">
        <w:t>Brunei</w:t>
      </w:r>
      <w:r w:rsidR="006E3466" w:rsidRPr="00993E19">
        <w:rPr>
          <w:rFonts w:ascii="Segoe UI" w:hAnsi="Segoe UI" w:cs="Segoe UI"/>
          <w:color w:val="313131"/>
          <w:sz w:val="24"/>
          <w:szCs w:val="24"/>
          <w:shd w:val="clear" w:color="auto" w:fill="FFFFFF"/>
        </w:rPr>
        <w:t xml:space="preserve"> </w:t>
      </w:r>
      <w:r w:rsidR="006E3466" w:rsidRPr="00993E19">
        <w:t>Darussalam</w:t>
      </w:r>
      <w:r w:rsidR="006E3466">
        <w:t xml:space="preserve">, </w:t>
      </w:r>
      <w:r w:rsidRPr="00B10F1C">
        <w:t>Canada, Mexico, Malaysia and Vietnam)</w:t>
      </w:r>
      <w:r w:rsidRPr="00154846">
        <w:t>. To be eligible for these thresholds, the immediate acquirer must be an entity formed in one of these countries. An investor acquiring through a subsidiary incorporated in another jurisdiction will be subject to the relevant thresholds of the subsidiary’s jurisdiction.</w:t>
      </w:r>
    </w:p>
  </w:footnote>
  <w:footnote w:id="13">
    <w:p w14:paraId="7A82EB8F" w14:textId="77777777" w:rsidR="008D7623" w:rsidRPr="00B10F1C" w:rsidRDefault="008D7623" w:rsidP="00332D03">
      <w:pPr>
        <w:pStyle w:val="FootnoteText"/>
        <w:jc w:val="both"/>
      </w:pPr>
      <w:r w:rsidRPr="00B10F1C">
        <w:rPr>
          <w:rStyle w:val="FootnoteReference"/>
        </w:rPr>
        <w:footnoteRef/>
      </w:r>
      <w:r w:rsidRPr="00B10F1C">
        <w:t xml:space="preserve"> </w:t>
      </w:r>
      <w:r w:rsidRPr="00B10F1C">
        <w:tab/>
        <w:t>“Substantial interest” is defined by section 4 of the FATA.</w:t>
      </w:r>
    </w:p>
  </w:footnote>
  <w:footnote w:id="14">
    <w:p w14:paraId="2947EAC1" w14:textId="5725D597" w:rsidR="008D7623" w:rsidRPr="00B10F1C" w:rsidRDefault="008D7623" w:rsidP="00332D03">
      <w:pPr>
        <w:pStyle w:val="FootnoteText"/>
        <w:jc w:val="both"/>
      </w:pPr>
      <w:r w:rsidRPr="00B10F1C">
        <w:rPr>
          <w:rStyle w:val="FootnoteReference"/>
          <w:rFonts w:cs="Arial"/>
        </w:rPr>
        <w:footnoteRef/>
      </w:r>
      <w:r w:rsidRPr="00B10F1C">
        <w:t xml:space="preserve"> </w:t>
      </w:r>
      <w:r w:rsidRPr="00B10F1C">
        <w:tab/>
        <w:t xml:space="preserve">Sensitive businesses (see section 22 of the </w:t>
      </w:r>
      <w:r w:rsidR="00FC009E" w:rsidRPr="00B10F1C">
        <w:t>FATR</w:t>
      </w:r>
      <w:r w:rsidRPr="00B10F1C">
        <w:t>) include</w:t>
      </w:r>
      <w:r w:rsidR="007A46BC">
        <w:t xml:space="preserve"> businesses </w:t>
      </w:r>
      <w:r w:rsidR="00FE3A67">
        <w:t>carried on in the following sectors</w:t>
      </w:r>
      <w:r w:rsidR="001451B1">
        <w:t>/</w:t>
      </w:r>
      <w:r w:rsidR="00691F15">
        <w:t>fields</w:t>
      </w:r>
      <w:r w:rsidRPr="00B10F1C">
        <w:t xml:space="preserve">: media; telecommunications; transport; defence and military related activities; encryption and </w:t>
      </w:r>
      <w:r w:rsidR="00D07515" w:rsidRPr="00B10F1C">
        <w:t>securit</w:t>
      </w:r>
      <w:r w:rsidR="00D07515">
        <w:t>y</w:t>
      </w:r>
      <w:r w:rsidR="00D07515" w:rsidRPr="00B10F1C">
        <w:t xml:space="preserve"> </w:t>
      </w:r>
      <w:r w:rsidRPr="00B10F1C">
        <w:t>technologies and communications systems; the extraction of uranium or plutonium; or the operation of nuclear facilities.</w:t>
      </w:r>
    </w:p>
  </w:footnote>
  <w:footnote w:id="15">
    <w:p w14:paraId="055FAC7D" w14:textId="02442005" w:rsidR="00D11DB2" w:rsidRPr="00B10F1C" w:rsidRDefault="00D11DB2" w:rsidP="00332D03">
      <w:pPr>
        <w:pStyle w:val="FootnoteText"/>
        <w:jc w:val="both"/>
      </w:pPr>
      <w:r w:rsidRPr="00B10F1C">
        <w:rPr>
          <w:rStyle w:val="FootnoteReference"/>
        </w:rPr>
        <w:footnoteRef/>
      </w:r>
      <w:r w:rsidRPr="00B10F1C">
        <w:t xml:space="preserve"> </w:t>
      </w:r>
      <w:r w:rsidRPr="00B10F1C">
        <w:tab/>
        <w:t xml:space="preserve">See subsection 51(2) of </w:t>
      </w:r>
      <w:r w:rsidR="00FC009E" w:rsidRPr="00B10F1C">
        <w:t>the FATR</w:t>
      </w:r>
      <w:r w:rsidRPr="00B10F1C">
        <w:t xml:space="preserve">. </w:t>
      </w:r>
    </w:p>
  </w:footnote>
  <w:footnote w:id="16">
    <w:p w14:paraId="6022F4ED" w14:textId="39C55D78" w:rsidR="00A00B7C" w:rsidRDefault="00A00B7C" w:rsidP="00332D03">
      <w:pPr>
        <w:pStyle w:val="FootnoteText"/>
        <w:jc w:val="both"/>
      </w:pPr>
      <w:r>
        <w:rPr>
          <w:rStyle w:val="FootnoteReference"/>
        </w:rPr>
        <w:footnoteRef/>
      </w:r>
      <w:r>
        <w:t xml:space="preserve"> </w:t>
      </w:r>
      <w:r>
        <w:tab/>
      </w:r>
      <w:r w:rsidR="009863DE">
        <w:t>A f</w:t>
      </w:r>
      <w:r>
        <w:t xml:space="preserve">oreign government investor </w:t>
      </w:r>
      <w:r w:rsidR="009863DE">
        <w:t>in relation to</w:t>
      </w:r>
      <w:r>
        <w:t xml:space="preserve"> </w:t>
      </w:r>
      <w:r w:rsidR="009863DE">
        <w:t>a</w:t>
      </w:r>
      <w:r w:rsidR="00521AF2">
        <w:t xml:space="preserve"> country</w:t>
      </w:r>
      <w:r w:rsidR="009863DE">
        <w:t xml:space="preserve"> is an associate of all other foreign government investors in relation to that country (see </w:t>
      </w:r>
      <w:r w:rsidR="00DA3798">
        <w:t>paragraph 6(1)(l) of the FATA).</w:t>
      </w:r>
      <w:r w:rsidR="00A844D8">
        <w:t xml:space="preserve"> See footnote </w:t>
      </w:r>
      <w:r w:rsidR="00683264">
        <w:fldChar w:fldCharType="begin"/>
      </w:r>
      <w:r w:rsidR="00683264">
        <w:instrText xml:space="preserve"> NOTEREF _Ref195192106 \h </w:instrText>
      </w:r>
      <w:r w:rsidR="00683264">
        <w:fldChar w:fldCharType="separate"/>
      </w:r>
      <w:r w:rsidR="00683DBB">
        <w:t>8</w:t>
      </w:r>
      <w:r w:rsidR="00683264">
        <w:fldChar w:fldCharType="end"/>
      </w:r>
      <w:r w:rsidR="00683264">
        <w:t>.</w:t>
      </w:r>
    </w:p>
  </w:footnote>
  <w:footnote w:id="17">
    <w:p w14:paraId="6BCD0A2B" w14:textId="0924A34C" w:rsidR="00A877C8" w:rsidRPr="00B10F1C" w:rsidRDefault="00A877C8" w:rsidP="00332D03">
      <w:pPr>
        <w:pStyle w:val="FootnoteText"/>
        <w:jc w:val="both"/>
      </w:pPr>
      <w:r w:rsidRPr="00B10F1C">
        <w:rPr>
          <w:rStyle w:val="FootnoteReference"/>
        </w:rPr>
        <w:footnoteRef/>
      </w:r>
      <w:r w:rsidRPr="00B10F1C">
        <w:t xml:space="preserve"> </w:t>
      </w:r>
      <w:r w:rsidRPr="00B10F1C">
        <w:tab/>
        <w:t xml:space="preserve">Some limited exceptions to this rule apply (see </w:t>
      </w:r>
      <w:r w:rsidR="00F904E5">
        <w:t>sub</w:t>
      </w:r>
      <w:r w:rsidRPr="00B10F1C">
        <w:t>section</w:t>
      </w:r>
      <w:r w:rsidR="00F904E5">
        <w:t>s</w:t>
      </w:r>
      <w:r w:rsidRPr="00B10F1C">
        <w:t xml:space="preserve"> 56</w:t>
      </w:r>
      <w:r w:rsidR="00F904E5">
        <w:t>(</w:t>
      </w:r>
      <w:r w:rsidR="007675B7">
        <w:t>3) to (6)</w:t>
      </w:r>
      <w:r w:rsidRPr="00B10F1C">
        <w:t xml:space="preserve"> of the FATR).</w:t>
      </w:r>
    </w:p>
  </w:footnote>
  <w:footnote w:id="18">
    <w:p w14:paraId="40B22ECD" w14:textId="3D3A4ADF" w:rsidR="00A372AB" w:rsidRDefault="00A372AB" w:rsidP="00332D03">
      <w:pPr>
        <w:pStyle w:val="FootnoteText"/>
        <w:jc w:val="both"/>
      </w:pPr>
      <w:r>
        <w:rPr>
          <w:rStyle w:val="FootnoteReference"/>
        </w:rPr>
        <w:footnoteRef/>
      </w:r>
      <w:r>
        <w:t xml:space="preserve"> </w:t>
      </w:r>
      <w:r>
        <w:tab/>
        <w:t>A</w:t>
      </w:r>
      <w:r w:rsidRPr="00B10F1C">
        <w:t xml:space="preserve"> limited exception to this rule app</w:t>
      </w:r>
      <w:r>
        <w:t>lies</w:t>
      </w:r>
      <w:r w:rsidRPr="00B10F1C">
        <w:t xml:space="preserve"> (see </w:t>
      </w:r>
      <w:r>
        <w:t>sub</w:t>
      </w:r>
      <w:r w:rsidRPr="00B10F1C">
        <w:t>section 56</w:t>
      </w:r>
      <w:r>
        <w:t xml:space="preserve">(7) </w:t>
      </w:r>
      <w:r w:rsidRPr="00B10F1C">
        <w:t>of the FATR)</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B140F" w14:textId="546D83C9" w:rsidR="008A5131" w:rsidRDefault="008A5131">
    <w:pPr>
      <w:pStyle w:val="Header"/>
    </w:pPr>
    <w:r>
      <w:rPr>
        <w:noProof/>
      </w:rPr>
      <mc:AlternateContent>
        <mc:Choice Requires="wps">
          <w:drawing>
            <wp:anchor distT="0" distB="0" distL="0" distR="0" simplePos="0" relativeHeight="251664387" behindDoc="0" locked="0" layoutInCell="1" allowOverlap="1" wp14:anchorId="0865AAD6" wp14:editId="04AE4A49">
              <wp:simplePos x="635" y="635"/>
              <wp:positionH relativeFrom="page">
                <wp:align>center</wp:align>
              </wp:positionH>
              <wp:positionV relativeFrom="page">
                <wp:align>top</wp:align>
              </wp:positionV>
              <wp:extent cx="551815" cy="376555"/>
              <wp:effectExtent l="0" t="0" r="635" b="4445"/>
              <wp:wrapNone/>
              <wp:docPr id="167641641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E31B3E4" w14:textId="33CF2226" w:rsidR="008A5131" w:rsidRPr="008A5131" w:rsidRDefault="008A5131" w:rsidP="008A5131">
                          <w:pPr>
                            <w:spacing w:after="0"/>
                            <w:rPr>
                              <w:rFonts w:eastAsia="Calibri" w:cs="Calibri"/>
                              <w:noProof/>
                              <w:color w:val="FF0000"/>
                            </w:rPr>
                          </w:pPr>
                          <w:r w:rsidRPr="008A5131">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65AAD6"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6438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5E31B3E4" w14:textId="33CF2226" w:rsidR="008A5131" w:rsidRPr="008A5131" w:rsidRDefault="008A5131" w:rsidP="008A5131">
                    <w:pPr>
                      <w:spacing w:after="0"/>
                      <w:rPr>
                        <w:rFonts w:eastAsia="Calibri" w:cs="Calibri"/>
                        <w:noProof/>
                        <w:color w:val="FF0000"/>
                      </w:rPr>
                    </w:pPr>
                    <w:r w:rsidRPr="008A5131">
                      <w:rPr>
                        <w:rFonts w:eastAsia="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80590" w14:textId="0569AE52" w:rsidR="003E5C68" w:rsidRDefault="008A5131" w:rsidP="00CB3FCC">
    <w:pPr>
      <w:pStyle w:val="Header"/>
    </w:pPr>
    <w:r>
      <w:rPr>
        <w:rFonts w:ascii="Calibri Light" w:hAnsi="Calibri Light"/>
        <w:noProof/>
        <w:color w:val="auto"/>
        <w:sz w:val="22"/>
        <w:szCs w:val="20"/>
      </w:rPr>
      <mc:AlternateContent>
        <mc:Choice Requires="wps">
          <w:drawing>
            <wp:anchor distT="0" distB="0" distL="0" distR="0" simplePos="0" relativeHeight="251665411" behindDoc="0" locked="0" layoutInCell="1" allowOverlap="1" wp14:anchorId="42512DCC" wp14:editId="0AAFCB0C">
              <wp:simplePos x="635" y="635"/>
              <wp:positionH relativeFrom="page">
                <wp:align>center</wp:align>
              </wp:positionH>
              <wp:positionV relativeFrom="page">
                <wp:align>top</wp:align>
              </wp:positionV>
              <wp:extent cx="551815" cy="376555"/>
              <wp:effectExtent l="0" t="0" r="635" b="4445"/>
              <wp:wrapNone/>
              <wp:docPr id="37926843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2197D21" w14:textId="44F429AC" w:rsidR="008A5131" w:rsidRPr="008A5131" w:rsidRDefault="008A5131" w:rsidP="008A5131">
                          <w:pPr>
                            <w:spacing w:after="0"/>
                            <w:rPr>
                              <w:rFonts w:eastAsia="Calibri" w:cs="Calibri"/>
                              <w:noProof/>
                              <w:color w:val="FF000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512DCC"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6541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12197D21" w14:textId="44F429AC" w:rsidR="008A5131" w:rsidRPr="008A5131" w:rsidRDefault="008A5131" w:rsidP="008A5131">
                    <w:pPr>
                      <w:spacing w:after="0"/>
                      <w:rPr>
                        <w:rFonts w:eastAsia="Calibri" w:cs="Calibri"/>
                        <w:noProof/>
                        <w:color w:val="FF0000"/>
                      </w:rPr>
                    </w:pPr>
                  </w:p>
                </w:txbxContent>
              </v:textbox>
              <w10:wrap anchorx="page" anchory="page"/>
            </v:shape>
          </w:pict>
        </mc:Fallback>
      </mc:AlternateContent>
    </w:r>
    <w:r w:rsidR="00D54B18" w:rsidRPr="00D54B18">
      <w:rPr>
        <w:rFonts w:ascii="Calibri Light" w:hAnsi="Calibri Light"/>
        <w:noProof/>
        <w:color w:val="auto"/>
        <w:sz w:val="22"/>
        <w:szCs w:val="20"/>
      </w:rPr>
      <w:drawing>
        <wp:anchor distT="0" distB="0" distL="114300" distR="114300" simplePos="0" relativeHeight="251662339" behindDoc="1" locked="0" layoutInCell="1" allowOverlap="1" wp14:anchorId="219642F5" wp14:editId="55292BE8">
          <wp:simplePos x="0" y="0"/>
          <wp:positionH relativeFrom="page">
            <wp:align>left</wp:align>
          </wp:positionH>
          <wp:positionV relativeFrom="page">
            <wp:align>top</wp:align>
          </wp:positionV>
          <wp:extent cx="7599600" cy="1047600"/>
          <wp:effectExtent l="0" t="0" r="1905" b="635"/>
          <wp:wrapNone/>
          <wp:docPr id="201" name="Picture 2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Picture 20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9600" cy="10476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adec="http://schemas.microsoft.com/office/drawing/2017/decorative" xmlns:arto="http://schemas.microsoft.com/office/word/2006/arto"/>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A4CE5" w14:textId="056DFE58" w:rsidR="007D305F" w:rsidRDefault="008A5131">
    <w:pPr>
      <w:pStyle w:val="Header"/>
    </w:pPr>
    <w:r>
      <w:rPr>
        <w:rFonts w:ascii="Calibri Light" w:hAnsi="Calibri Light"/>
        <w:noProof/>
        <w:color w:val="auto"/>
        <w:sz w:val="22"/>
        <w:szCs w:val="20"/>
      </w:rPr>
      <mc:AlternateContent>
        <mc:Choice Requires="wps">
          <w:drawing>
            <wp:anchor distT="0" distB="0" distL="0" distR="0" simplePos="0" relativeHeight="251663363" behindDoc="0" locked="0" layoutInCell="1" allowOverlap="1" wp14:anchorId="67C32206" wp14:editId="1CDB14FD">
              <wp:simplePos x="635" y="635"/>
              <wp:positionH relativeFrom="page">
                <wp:align>center</wp:align>
              </wp:positionH>
              <wp:positionV relativeFrom="page">
                <wp:align>top</wp:align>
              </wp:positionV>
              <wp:extent cx="551815" cy="376555"/>
              <wp:effectExtent l="0" t="0" r="635" b="4445"/>
              <wp:wrapNone/>
              <wp:docPr id="36057682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FD116C2" w14:textId="401257C2" w:rsidR="008A5131" w:rsidRPr="008A5131" w:rsidRDefault="008A5131" w:rsidP="008A5131">
                          <w:pPr>
                            <w:spacing w:after="0"/>
                            <w:rPr>
                              <w:rFonts w:eastAsia="Calibri" w:cs="Calibri"/>
                              <w:noProof/>
                              <w:color w:val="FF000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C32206" id="_x0000_t202" coordsize="21600,21600" o:spt="202" path="m,l,21600r21600,l21600,xe">
              <v:stroke joinstyle="miter"/>
              <v:path gradientshapeok="t" o:connecttype="rect"/>
            </v:shapetype>
            <v:shape id="Text Box 1" o:spid="_x0000_s1030" type="#_x0000_t202" alt="OFFICIAL" style="position:absolute;margin-left:0;margin-top:0;width:43.45pt;height:29.65pt;z-index:25166336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0FD116C2" w14:textId="401257C2" w:rsidR="008A5131" w:rsidRPr="008A5131" w:rsidRDefault="008A5131" w:rsidP="008A5131">
                    <w:pPr>
                      <w:spacing w:after="0"/>
                      <w:rPr>
                        <w:rFonts w:eastAsia="Calibri" w:cs="Calibri"/>
                        <w:noProof/>
                        <w:color w:val="FF0000"/>
                      </w:rPr>
                    </w:pPr>
                  </w:p>
                </w:txbxContent>
              </v:textbox>
              <w10:wrap anchorx="page" anchory="page"/>
            </v:shape>
          </w:pict>
        </mc:Fallback>
      </mc:AlternateContent>
    </w:r>
    <w:r w:rsidR="007D305F" w:rsidRPr="00CB3FCC">
      <w:rPr>
        <w:rFonts w:ascii="Calibri Light" w:hAnsi="Calibri Light"/>
        <w:noProof/>
        <w:color w:val="auto"/>
        <w:sz w:val="22"/>
        <w:szCs w:val="20"/>
      </w:rPr>
      <w:drawing>
        <wp:anchor distT="0" distB="0" distL="114300" distR="114300" simplePos="0" relativeHeight="251658240" behindDoc="1" locked="0" layoutInCell="1" allowOverlap="0" wp14:anchorId="69538D11" wp14:editId="6988EAD7">
          <wp:simplePos x="0" y="0"/>
          <wp:positionH relativeFrom="page">
            <wp:align>left</wp:align>
          </wp:positionH>
          <wp:positionV relativeFrom="page">
            <wp:align>top</wp:align>
          </wp:positionV>
          <wp:extent cx="7599600" cy="1519200"/>
          <wp:effectExtent l="0" t="0" r="1905" b="5080"/>
          <wp:wrapNone/>
          <wp:docPr id="673521233" name="Picture 6735212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Picture 20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9600" cy="151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666C37"/>
    <w:multiLevelType w:val="multilevel"/>
    <w:tmpl w:val="3ECA5DFC"/>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lvlText w:val=":"/>
      <w:lvlJc w:val="left"/>
      <w:pPr>
        <w:ind w:left="1080" w:firstLine="54"/>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1235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023"/>
    <w:rsid w:val="00013CE4"/>
    <w:rsid w:val="00021B17"/>
    <w:rsid w:val="00023627"/>
    <w:rsid w:val="00023942"/>
    <w:rsid w:val="00030285"/>
    <w:rsid w:val="000328A4"/>
    <w:rsid w:val="00046E25"/>
    <w:rsid w:val="0005333C"/>
    <w:rsid w:val="00072755"/>
    <w:rsid w:val="00074413"/>
    <w:rsid w:val="000828A2"/>
    <w:rsid w:val="00091C46"/>
    <w:rsid w:val="000948F9"/>
    <w:rsid w:val="000A3D4F"/>
    <w:rsid w:val="000A40C2"/>
    <w:rsid w:val="000A5B81"/>
    <w:rsid w:val="000B6585"/>
    <w:rsid w:val="000B7566"/>
    <w:rsid w:val="000C5E6D"/>
    <w:rsid w:val="000D4784"/>
    <w:rsid w:val="000D7C4C"/>
    <w:rsid w:val="000E3160"/>
    <w:rsid w:val="000E5D42"/>
    <w:rsid w:val="000F0773"/>
    <w:rsid w:val="000F2F8F"/>
    <w:rsid w:val="001015D6"/>
    <w:rsid w:val="00115805"/>
    <w:rsid w:val="001201C5"/>
    <w:rsid w:val="00121F62"/>
    <w:rsid w:val="001220CA"/>
    <w:rsid w:val="001241B7"/>
    <w:rsid w:val="00125218"/>
    <w:rsid w:val="00125E53"/>
    <w:rsid w:val="00133E90"/>
    <w:rsid w:val="0014240D"/>
    <w:rsid w:val="00142E87"/>
    <w:rsid w:val="001433FC"/>
    <w:rsid w:val="00143C40"/>
    <w:rsid w:val="001451B1"/>
    <w:rsid w:val="00145EF8"/>
    <w:rsid w:val="00154846"/>
    <w:rsid w:val="00157687"/>
    <w:rsid w:val="00160314"/>
    <w:rsid w:val="00164524"/>
    <w:rsid w:val="0016794B"/>
    <w:rsid w:val="00172289"/>
    <w:rsid w:val="00176800"/>
    <w:rsid w:val="00180F3F"/>
    <w:rsid w:val="00180FDD"/>
    <w:rsid w:val="00181FDC"/>
    <w:rsid w:val="001824E6"/>
    <w:rsid w:val="001832B9"/>
    <w:rsid w:val="00185514"/>
    <w:rsid w:val="001859A1"/>
    <w:rsid w:val="001859FC"/>
    <w:rsid w:val="001867C4"/>
    <w:rsid w:val="001924EA"/>
    <w:rsid w:val="00197065"/>
    <w:rsid w:val="001A31AC"/>
    <w:rsid w:val="001B07F0"/>
    <w:rsid w:val="001B0838"/>
    <w:rsid w:val="001B16CC"/>
    <w:rsid w:val="001C1814"/>
    <w:rsid w:val="001C4836"/>
    <w:rsid w:val="001D5252"/>
    <w:rsid w:val="001D7B95"/>
    <w:rsid w:val="001E03A7"/>
    <w:rsid w:val="001E5B88"/>
    <w:rsid w:val="001F703A"/>
    <w:rsid w:val="00200AC1"/>
    <w:rsid w:val="00201D15"/>
    <w:rsid w:val="00201F61"/>
    <w:rsid w:val="002046CF"/>
    <w:rsid w:val="00207F8B"/>
    <w:rsid w:val="00215F99"/>
    <w:rsid w:val="0022025E"/>
    <w:rsid w:val="00221D84"/>
    <w:rsid w:val="0022250B"/>
    <w:rsid w:val="00223270"/>
    <w:rsid w:val="00223385"/>
    <w:rsid w:val="00227081"/>
    <w:rsid w:val="00232BFF"/>
    <w:rsid w:val="00235B00"/>
    <w:rsid w:val="002375E1"/>
    <w:rsid w:val="00237BE7"/>
    <w:rsid w:val="00240768"/>
    <w:rsid w:val="00245FA4"/>
    <w:rsid w:val="0025152B"/>
    <w:rsid w:val="002521BA"/>
    <w:rsid w:val="00252ED5"/>
    <w:rsid w:val="00262CCB"/>
    <w:rsid w:val="00264D70"/>
    <w:rsid w:val="00277FCC"/>
    <w:rsid w:val="0028795A"/>
    <w:rsid w:val="00290DD9"/>
    <w:rsid w:val="0029356D"/>
    <w:rsid w:val="00296B9C"/>
    <w:rsid w:val="002A73A9"/>
    <w:rsid w:val="002B4188"/>
    <w:rsid w:val="002B45E2"/>
    <w:rsid w:val="002C16E5"/>
    <w:rsid w:val="002C1D2E"/>
    <w:rsid w:val="002C1DA0"/>
    <w:rsid w:val="002C5D38"/>
    <w:rsid w:val="002C6672"/>
    <w:rsid w:val="002E25B7"/>
    <w:rsid w:val="002E4B1A"/>
    <w:rsid w:val="002F7B85"/>
    <w:rsid w:val="00300761"/>
    <w:rsid w:val="00303BA4"/>
    <w:rsid w:val="0032041F"/>
    <w:rsid w:val="003204E0"/>
    <w:rsid w:val="00320E12"/>
    <w:rsid w:val="00326636"/>
    <w:rsid w:val="00326C65"/>
    <w:rsid w:val="003329B3"/>
    <w:rsid w:val="00332D03"/>
    <w:rsid w:val="00333923"/>
    <w:rsid w:val="00343B33"/>
    <w:rsid w:val="00344E56"/>
    <w:rsid w:val="00356AF2"/>
    <w:rsid w:val="00363984"/>
    <w:rsid w:val="00365023"/>
    <w:rsid w:val="00376493"/>
    <w:rsid w:val="00385471"/>
    <w:rsid w:val="003976F6"/>
    <w:rsid w:val="003A2443"/>
    <w:rsid w:val="003A4ED5"/>
    <w:rsid w:val="003A5059"/>
    <w:rsid w:val="003A5712"/>
    <w:rsid w:val="003B0088"/>
    <w:rsid w:val="003B5C41"/>
    <w:rsid w:val="003C0349"/>
    <w:rsid w:val="003C0E14"/>
    <w:rsid w:val="003C14A8"/>
    <w:rsid w:val="003C5E03"/>
    <w:rsid w:val="003D0C39"/>
    <w:rsid w:val="003D66C5"/>
    <w:rsid w:val="003E0C15"/>
    <w:rsid w:val="003E44A8"/>
    <w:rsid w:val="003E52DF"/>
    <w:rsid w:val="003E5C68"/>
    <w:rsid w:val="003F1605"/>
    <w:rsid w:val="003F4FF2"/>
    <w:rsid w:val="003F5957"/>
    <w:rsid w:val="00401121"/>
    <w:rsid w:val="00406FDC"/>
    <w:rsid w:val="0040758F"/>
    <w:rsid w:val="004111BC"/>
    <w:rsid w:val="0041138F"/>
    <w:rsid w:val="00411BB1"/>
    <w:rsid w:val="004144C2"/>
    <w:rsid w:val="00421F07"/>
    <w:rsid w:val="00430EF5"/>
    <w:rsid w:val="00432DFA"/>
    <w:rsid w:val="004346BE"/>
    <w:rsid w:val="00436D07"/>
    <w:rsid w:val="00441EEF"/>
    <w:rsid w:val="00443BA9"/>
    <w:rsid w:val="004527A2"/>
    <w:rsid w:val="004547F3"/>
    <w:rsid w:val="004607D8"/>
    <w:rsid w:val="004636BE"/>
    <w:rsid w:val="0046451B"/>
    <w:rsid w:val="00464FF6"/>
    <w:rsid w:val="00465934"/>
    <w:rsid w:val="00472855"/>
    <w:rsid w:val="00484BF3"/>
    <w:rsid w:val="00484D7C"/>
    <w:rsid w:val="00485D3B"/>
    <w:rsid w:val="00486AC8"/>
    <w:rsid w:val="00490AE6"/>
    <w:rsid w:val="004976DC"/>
    <w:rsid w:val="004A390D"/>
    <w:rsid w:val="004A5757"/>
    <w:rsid w:val="004B1CFC"/>
    <w:rsid w:val="004B427C"/>
    <w:rsid w:val="004B7415"/>
    <w:rsid w:val="004B7A3C"/>
    <w:rsid w:val="004C04A7"/>
    <w:rsid w:val="004C0C3C"/>
    <w:rsid w:val="004C0EF1"/>
    <w:rsid w:val="004C2E3C"/>
    <w:rsid w:val="004D45F5"/>
    <w:rsid w:val="004D657B"/>
    <w:rsid w:val="004E4C74"/>
    <w:rsid w:val="004E61AE"/>
    <w:rsid w:val="004F201E"/>
    <w:rsid w:val="004F3E0F"/>
    <w:rsid w:val="004F60B6"/>
    <w:rsid w:val="004F6CB3"/>
    <w:rsid w:val="005040B5"/>
    <w:rsid w:val="0050573D"/>
    <w:rsid w:val="00507417"/>
    <w:rsid w:val="005108B5"/>
    <w:rsid w:val="00511D31"/>
    <w:rsid w:val="00521AF2"/>
    <w:rsid w:val="0052557B"/>
    <w:rsid w:val="00527E29"/>
    <w:rsid w:val="00536DCA"/>
    <w:rsid w:val="0054554A"/>
    <w:rsid w:val="005463AA"/>
    <w:rsid w:val="00550B54"/>
    <w:rsid w:val="00562A5B"/>
    <w:rsid w:val="00564E86"/>
    <w:rsid w:val="00566E36"/>
    <w:rsid w:val="00575A70"/>
    <w:rsid w:val="00577973"/>
    <w:rsid w:val="00582EBF"/>
    <w:rsid w:val="00587E06"/>
    <w:rsid w:val="0059069E"/>
    <w:rsid w:val="00592405"/>
    <w:rsid w:val="005A3F2B"/>
    <w:rsid w:val="005A632C"/>
    <w:rsid w:val="005B4B6A"/>
    <w:rsid w:val="005B5897"/>
    <w:rsid w:val="005B5CFE"/>
    <w:rsid w:val="005B5DAB"/>
    <w:rsid w:val="005B680B"/>
    <w:rsid w:val="005C2270"/>
    <w:rsid w:val="005D6125"/>
    <w:rsid w:val="005E13DB"/>
    <w:rsid w:val="005E43EA"/>
    <w:rsid w:val="005E6E6D"/>
    <w:rsid w:val="005F0EFF"/>
    <w:rsid w:val="005F1379"/>
    <w:rsid w:val="005F1E1F"/>
    <w:rsid w:val="005F48AC"/>
    <w:rsid w:val="005F72B5"/>
    <w:rsid w:val="00602840"/>
    <w:rsid w:val="00603FCD"/>
    <w:rsid w:val="00610960"/>
    <w:rsid w:val="00610A7F"/>
    <w:rsid w:val="0061374D"/>
    <w:rsid w:val="006201BD"/>
    <w:rsid w:val="006247E0"/>
    <w:rsid w:val="00624F18"/>
    <w:rsid w:val="0062667E"/>
    <w:rsid w:val="00627C5F"/>
    <w:rsid w:val="00632D71"/>
    <w:rsid w:val="00636844"/>
    <w:rsid w:val="00645A5C"/>
    <w:rsid w:val="006507F4"/>
    <w:rsid w:val="0066354F"/>
    <w:rsid w:val="00673562"/>
    <w:rsid w:val="00674F42"/>
    <w:rsid w:val="00676B4A"/>
    <w:rsid w:val="0067712C"/>
    <w:rsid w:val="00680B83"/>
    <w:rsid w:val="00680CB6"/>
    <w:rsid w:val="00683264"/>
    <w:rsid w:val="006833F2"/>
    <w:rsid w:val="00683DBB"/>
    <w:rsid w:val="00685313"/>
    <w:rsid w:val="00685EC4"/>
    <w:rsid w:val="006870AB"/>
    <w:rsid w:val="006916D2"/>
    <w:rsid w:val="00691F15"/>
    <w:rsid w:val="00693EC7"/>
    <w:rsid w:val="00694B0C"/>
    <w:rsid w:val="006A431A"/>
    <w:rsid w:val="006A565F"/>
    <w:rsid w:val="006A6260"/>
    <w:rsid w:val="006A69D8"/>
    <w:rsid w:val="006B25A6"/>
    <w:rsid w:val="006C0646"/>
    <w:rsid w:val="006C170A"/>
    <w:rsid w:val="006C2BD3"/>
    <w:rsid w:val="006C35E9"/>
    <w:rsid w:val="006C5B03"/>
    <w:rsid w:val="006D523F"/>
    <w:rsid w:val="006D7C51"/>
    <w:rsid w:val="006E0422"/>
    <w:rsid w:val="006E046B"/>
    <w:rsid w:val="006E3466"/>
    <w:rsid w:val="006E422B"/>
    <w:rsid w:val="006F2276"/>
    <w:rsid w:val="006F24E8"/>
    <w:rsid w:val="006F45B6"/>
    <w:rsid w:val="00702864"/>
    <w:rsid w:val="00703F0F"/>
    <w:rsid w:val="007123D8"/>
    <w:rsid w:val="007129A5"/>
    <w:rsid w:val="00713942"/>
    <w:rsid w:val="00716FB2"/>
    <w:rsid w:val="00720C83"/>
    <w:rsid w:val="00726E4B"/>
    <w:rsid w:val="00730ABD"/>
    <w:rsid w:val="00730B90"/>
    <w:rsid w:val="007317B9"/>
    <w:rsid w:val="00735DF2"/>
    <w:rsid w:val="007363E0"/>
    <w:rsid w:val="007420A7"/>
    <w:rsid w:val="007433FA"/>
    <w:rsid w:val="00743A6F"/>
    <w:rsid w:val="007470DE"/>
    <w:rsid w:val="007512AB"/>
    <w:rsid w:val="00751DE7"/>
    <w:rsid w:val="00753F96"/>
    <w:rsid w:val="00756BBD"/>
    <w:rsid w:val="00762384"/>
    <w:rsid w:val="00764B84"/>
    <w:rsid w:val="007675B7"/>
    <w:rsid w:val="00770521"/>
    <w:rsid w:val="00776897"/>
    <w:rsid w:val="0078379B"/>
    <w:rsid w:val="0078715D"/>
    <w:rsid w:val="00794637"/>
    <w:rsid w:val="00794EEA"/>
    <w:rsid w:val="007A09EB"/>
    <w:rsid w:val="007A46BC"/>
    <w:rsid w:val="007A53AA"/>
    <w:rsid w:val="007A7372"/>
    <w:rsid w:val="007A7754"/>
    <w:rsid w:val="007B186C"/>
    <w:rsid w:val="007B4E03"/>
    <w:rsid w:val="007B58CF"/>
    <w:rsid w:val="007B6918"/>
    <w:rsid w:val="007C7FF7"/>
    <w:rsid w:val="007D305F"/>
    <w:rsid w:val="007D3CD3"/>
    <w:rsid w:val="007D6AC8"/>
    <w:rsid w:val="007D6C5B"/>
    <w:rsid w:val="007F202A"/>
    <w:rsid w:val="007F3C0A"/>
    <w:rsid w:val="0080090F"/>
    <w:rsid w:val="00813441"/>
    <w:rsid w:val="00814AFC"/>
    <w:rsid w:val="00815187"/>
    <w:rsid w:val="0081695C"/>
    <w:rsid w:val="00831015"/>
    <w:rsid w:val="0083610D"/>
    <w:rsid w:val="00840787"/>
    <w:rsid w:val="00840A5E"/>
    <w:rsid w:val="00851AF3"/>
    <w:rsid w:val="00854CEE"/>
    <w:rsid w:val="00862580"/>
    <w:rsid w:val="00871FF6"/>
    <w:rsid w:val="00873D79"/>
    <w:rsid w:val="00873EC2"/>
    <w:rsid w:val="00882589"/>
    <w:rsid w:val="0088764F"/>
    <w:rsid w:val="00892577"/>
    <w:rsid w:val="00895D8B"/>
    <w:rsid w:val="0089648A"/>
    <w:rsid w:val="008A32AA"/>
    <w:rsid w:val="008A5131"/>
    <w:rsid w:val="008A7102"/>
    <w:rsid w:val="008B0D87"/>
    <w:rsid w:val="008B2363"/>
    <w:rsid w:val="008B2D6C"/>
    <w:rsid w:val="008D0E87"/>
    <w:rsid w:val="008D4420"/>
    <w:rsid w:val="008D560F"/>
    <w:rsid w:val="008D7623"/>
    <w:rsid w:val="008E5236"/>
    <w:rsid w:val="008F1F02"/>
    <w:rsid w:val="008F2FCA"/>
    <w:rsid w:val="008F6C20"/>
    <w:rsid w:val="008F7FB0"/>
    <w:rsid w:val="00900C4C"/>
    <w:rsid w:val="00902DCE"/>
    <w:rsid w:val="00912EA7"/>
    <w:rsid w:val="00913639"/>
    <w:rsid w:val="00913804"/>
    <w:rsid w:val="00934D51"/>
    <w:rsid w:val="00946709"/>
    <w:rsid w:val="0094763D"/>
    <w:rsid w:val="0095047B"/>
    <w:rsid w:val="00960AAB"/>
    <w:rsid w:val="009629DD"/>
    <w:rsid w:val="00966DCC"/>
    <w:rsid w:val="00975B72"/>
    <w:rsid w:val="00983212"/>
    <w:rsid w:val="009863DE"/>
    <w:rsid w:val="00986749"/>
    <w:rsid w:val="00987263"/>
    <w:rsid w:val="00993E19"/>
    <w:rsid w:val="00996361"/>
    <w:rsid w:val="009A439E"/>
    <w:rsid w:val="009B1335"/>
    <w:rsid w:val="009B339A"/>
    <w:rsid w:val="009C778A"/>
    <w:rsid w:val="009D6EB9"/>
    <w:rsid w:val="009E058F"/>
    <w:rsid w:val="009E27F4"/>
    <w:rsid w:val="009E3E6C"/>
    <w:rsid w:val="009E78BA"/>
    <w:rsid w:val="009F7DCF"/>
    <w:rsid w:val="00A00B7C"/>
    <w:rsid w:val="00A00F3F"/>
    <w:rsid w:val="00A10BCE"/>
    <w:rsid w:val="00A10D5E"/>
    <w:rsid w:val="00A13446"/>
    <w:rsid w:val="00A163AA"/>
    <w:rsid w:val="00A1657E"/>
    <w:rsid w:val="00A17D72"/>
    <w:rsid w:val="00A22955"/>
    <w:rsid w:val="00A25935"/>
    <w:rsid w:val="00A25CE1"/>
    <w:rsid w:val="00A32F42"/>
    <w:rsid w:val="00A372AB"/>
    <w:rsid w:val="00A377DB"/>
    <w:rsid w:val="00A412F5"/>
    <w:rsid w:val="00A441E2"/>
    <w:rsid w:val="00A466BF"/>
    <w:rsid w:val="00A505B6"/>
    <w:rsid w:val="00A510CC"/>
    <w:rsid w:val="00A53CFC"/>
    <w:rsid w:val="00A60131"/>
    <w:rsid w:val="00A654F9"/>
    <w:rsid w:val="00A67D56"/>
    <w:rsid w:val="00A80ACE"/>
    <w:rsid w:val="00A844D8"/>
    <w:rsid w:val="00A877C8"/>
    <w:rsid w:val="00A95DA7"/>
    <w:rsid w:val="00AA3245"/>
    <w:rsid w:val="00AB1B0B"/>
    <w:rsid w:val="00AC1C05"/>
    <w:rsid w:val="00AC25EE"/>
    <w:rsid w:val="00AD5CCE"/>
    <w:rsid w:val="00AD5E2D"/>
    <w:rsid w:val="00AE5D5E"/>
    <w:rsid w:val="00AF5384"/>
    <w:rsid w:val="00AF74BC"/>
    <w:rsid w:val="00B0096C"/>
    <w:rsid w:val="00B05D88"/>
    <w:rsid w:val="00B0663B"/>
    <w:rsid w:val="00B10F1C"/>
    <w:rsid w:val="00B11797"/>
    <w:rsid w:val="00B20798"/>
    <w:rsid w:val="00B21F98"/>
    <w:rsid w:val="00B25E07"/>
    <w:rsid w:val="00B27E4A"/>
    <w:rsid w:val="00B27E5E"/>
    <w:rsid w:val="00B33120"/>
    <w:rsid w:val="00B36FC7"/>
    <w:rsid w:val="00B37EA5"/>
    <w:rsid w:val="00B47CF0"/>
    <w:rsid w:val="00B50C64"/>
    <w:rsid w:val="00B514B5"/>
    <w:rsid w:val="00B55A72"/>
    <w:rsid w:val="00B675B1"/>
    <w:rsid w:val="00B67ECC"/>
    <w:rsid w:val="00B744C0"/>
    <w:rsid w:val="00B803FC"/>
    <w:rsid w:val="00B81455"/>
    <w:rsid w:val="00B83A3F"/>
    <w:rsid w:val="00B84807"/>
    <w:rsid w:val="00B84CF8"/>
    <w:rsid w:val="00B861BD"/>
    <w:rsid w:val="00B87AA9"/>
    <w:rsid w:val="00B92A50"/>
    <w:rsid w:val="00B93E44"/>
    <w:rsid w:val="00B97AD8"/>
    <w:rsid w:val="00BA16C6"/>
    <w:rsid w:val="00BA560F"/>
    <w:rsid w:val="00BB43B5"/>
    <w:rsid w:val="00BB708E"/>
    <w:rsid w:val="00BB777E"/>
    <w:rsid w:val="00BB77CE"/>
    <w:rsid w:val="00BC100F"/>
    <w:rsid w:val="00BC5C89"/>
    <w:rsid w:val="00BD3821"/>
    <w:rsid w:val="00BD7868"/>
    <w:rsid w:val="00BD7DE0"/>
    <w:rsid w:val="00BE13BD"/>
    <w:rsid w:val="00BF405C"/>
    <w:rsid w:val="00C0148E"/>
    <w:rsid w:val="00C02B57"/>
    <w:rsid w:val="00C03BC2"/>
    <w:rsid w:val="00C0733D"/>
    <w:rsid w:val="00C15AA1"/>
    <w:rsid w:val="00C172A2"/>
    <w:rsid w:val="00C277F2"/>
    <w:rsid w:val="00C417F6"/>
    <w:rsid w:val="00C6176C"/>
    <w:rsid w:val="00C66BDA"/>
    <w:rsid w:val="00C704DA"/>
    <w:rsid w:val="00C728A4"/>
    <w:rsid w:val="00C72AAB"/>
    <w:rsid w:val="00C732FF"/>
    <w:rsid w:val="00C75400"/>
    <w:rsid w:val="00C7748F"/>
    <w:rsid w:val="00C8762C"/>
    <w:rsid w:val="00C906B3"/>
    <w:rsid w:val="00C93A21"/>
    <w:rsid w:val="00C96C8B"/>
    <w:rsid w:val="00CA00FF"/>
    <w:rsid w:val="00CA054D"/>
    <w:rsid w:val="00CA5CE3"/>
    <w:rsid w:val="00CA7DB6"/>
    <w:rsid w:val="00CB05BC"/>
    <w:rsid w:val="00CB3FCC"/>
    <w:rsid w:val="00CC0846"/>
    <w:rsid w:val="00CC31A6"/>
    <w:rsid w:val="00CC55D5"/>
    <w:rsid w:val="00CD0595"/>
    <w:rsid w:val="00CD07C1"/>
    <w:rsid w:val="00CD687E"/>
    <w:rsid w:val="00CD7995"/>
    <w:rsid w:val="00CE1122"/>
    <w:rsid w:val="00CE4E89"/>
    <w:rsid w:val="00CE665D"/>
    <w:rsid w:val="00CF6DA1"/>
    <w:rsid w:val="00D07515"/>
    <w:rsid w:val="00D118F7"/>
    <w:rsid w:val="00D11DB2"/>
    <w:rsid w:val="00D127A0"/>
    <w:rsid w:val="00D155B9"/>
    <w:rsid w:val="00D15E29"/>
    <w:rsid w:val="00D23C6F"/>
    <w:rsid w:val="00D324FF"/>
    <w:rsid w:val="00D32C36"/>
    <w:rsid w:val="00D33504"/>
    <w:rsid w:val="00D36A43"/>
    <w:rsid w:val="00D375A2"/>
    <w:rsid w:val="00D4011F"/>
    <w:rsid w:val="00D45780"/>
    <w:rsid w:val="00D51243"/>
    <w:rsid w:val="00D54B18"/>
    <w:rsid w:val="00D6092B"/>
    <w:rsid w:val="00D6093F"/>
    <w:rsid w:val="00D62C7D"/>
    <w:rsid w:val="00D726D2"/>
    <w:rsid w:val="00D74C66"/>
    <w:rsid w:val="00D77AB9"/>
    <w:rsid w:val="00D77D20"/>
    <w:rsid w:val="00D77F56"/>
    <w:rsid w:val="00D81C67"/>
    <w:rsid w:val="00D836F0"/>
    <w:rsid w:val="00D861B2"/>
    <w:rsid w:val="00D87804"/>
    <w:rsid w:val="00D902D7"/>
    <w:rsid w:val="00D91E8A"/>
    <w:rsid w:val="00DA0515"/>
    <w:rsid w:val="00DA096E"/>
    <w:rsid w:val="00DA2FA3"/>
    <w:rsid w:val="00DA3061"/>
    <w:rsid w:val="00DA3798"/>
    <w:rsid w:val="00DA6908"/>
    <w:rsid w:val="00DB45EC"/>
    <w:rsid w:val="00DB5216"/>
    <w:rsid w:val="00DB6F9D"/>
    <w:rsid w:val="00DC543C"/>
    <w:rsid w:val="00DC5741"/>
    <w:rsid w:val="00DD16F8"/>
    <w:rsid w:val="00DD3DBF"/>
    <w:rsid w:val="00DD5795"/>
    <w:rsid w:val="00DD624C"/>
    <w:rsid w:val="00DD7AC6"/>
    <w:rsid w:val="00DE3AA3"/>
    <w:rsid w:val="00DE4C2E"/>
    <w:rsid w:val="00DE5813"/>
    <w:rsid w:val="00DF072D"/>
    <w:rsid w:val="00E00C4B"/>
    <w:rsid w:val="00E041E8"/>
    <w:rsid w:val="00E05E8C"/>
    <w:rsid w:val="00E06A1F"/>
    <w:rsid w:val="00E111C6"/>
    <w:rsid w:val="00E13A25"/>
    <w:rsid w:val="00E176B5"/>
    <w:rsid w:val="00E25D76"/>
    <w:rsid w:val="00E27F56"/>
    <w:rsid w:val="00E33B95"/>
    <w:rsid w:val="00E34A2D"/>
    <w:rsid w:val="00E353F4"/>
    <w:rsid w:val="00E37AA8"/>
    <w:rsid w:val="00E434FD"/>
    <w:rsid w:val="00E45117"/>
    <w:rsid w:val="00E45A75"/>
    <w:rsid w:val="00E45F7C"/>
    <w:rsid w:val="00E46978"/>
    <w:rsid w:val="00E477A5"/>
    <w:rsid w:val="00E53943"/>
    <w:rsid w:val="00E53B94"/>
    <w:rsid w:val="00E55FB3"/>
    <w:rsid w:val="00E57E2B"/>
    <w:rsid w:val="00E676DF"/>
    <w:rsid w:val="00E76724"/>
    <w:rsid w:val="00E80911"/>
    <w:rsid w:val="00E87F68"/>
    <w:rsid w:val="00EA265C"/>
    <w:rsid w:val="00EA674E"/>
    <w:rsid w:val="00EB41A0"/>
    <w:rsid w:val="00EB6628"/>
    <w:rsid w:val="00EB7D74"/>
    <w:rsid w:val="00EC0D54"/>
    <w:rsid w:val="00ED09A9"/>
    <w:rsid w:val="00ED3A13"/>
    <w:rsid w:val="00ED3C37"/>
    <w:rsid w:val="00ED5B29"/>
    <w:rsid w:val="00ED739F"/>
    <w:rsid w:val="00ED75B0"/>
    <w:rsid w:val="00EE2275"/>
    <w:rsid w:val="00EE405A"/>
    <w:rsid w:val="00EF0905"/>
    <w:rsid w:val="00EF3ABE"/>
    <w:rsid w:val="00F01BCD"/>
    <w:rsid w:val="00F03B38"/>
    <w:rsid w:val="00F040C9"/>
    <w:rsid w:val="00F05864"/>
    <w:rsid w:val="00F05D44"/>
    <w:rsid w:val="00F10673"/>
    <w:rsid w:val="00F11803"/>
    <w:rsid w:val="00F145BF"/>
    <w:rsid w:val="00F16524"/>
    <w:rsid w:val="00F21234"/>
    <w:rsid w:val="00F21D11"/>
    <w:rsid w:val="00F246C6"/>
    <w:rsid w:val="00F25EAA"/>
    <w:rsid w:val="00F30555"/>
    <w:rsid w:val="00F311CF"/>
    <w:rsid w:val="00F31DD7"/>
    <w:rsid w:val="00F35F4A"/>
    <w:rsid w:val="00F36C7B"/>
    <w:rsid w:val="00F40B93"/>
    <w:rsid w:val="00F40E2E"/>
    <w:rsid w:val="00F5374F"/>
    <w:rsid w:val="00F635CF"/>
    <w:rsid w:val="00F67436"/>
    <w:rsid w:val="00F70DEC"/>
    <w:rsid w:val="00F762C8"/>
    <w:rsid w:val="00F7716A"/>
    <w:rsid w:val="00F7777A"/>
    <w:rsid w:val="00F83896"/>
    <w:rsid w:val="00F83E10"/>
    <w:rsid w:val="00F855E3"/>
    <w:rsid w:val="00F904E5"/>
    <w:rsid w:val="00FA1E5C"/>
    <w:rsid w:val="00FB0E1F"/>
    <w:rsid w:val="00FB12B6"/>
    <w:rsid w:val="00FB1FB7"/>
    <w:rsid w:val="00FB4F29"/>
    <w:rsid w:val="00FB6100"/>
    <w:rsid w:val="00FC009E"/>
    <w:rsid w:val="00FD259E"/>
    <w:rsid w:val="00FE0415"/>
    <w:rsid w:val="00FE0ADF"/>
    <w:rsid w:val="00FE2196"/>
    <w:rsid w:val="00FE2806"/>
    <w:rsid w:val="00FE3A67"/>
    <w:rsid w:val="00FE7553"/>
    <w:rsid w:val="00FF4CF8"/>
    <w:rsid w:val="2E35542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CD0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023"/>
    <w:pPr>
      <w:spacing w:after="220" w:line="240" w:lineRule="auto"/>
    </w:pPr>
    <w:rPr>
      <w:rFonts w:ascii="Calibri" w:eastAsia="Times New Roman" w:hAnsi="Calibri" w:cs="Times New Roman"/>
      <w:color w:val="000000" w:themeColor="text1"/>
      <w:sz w:val="24"/>
      <w:szCs w:val="24"/>
      <w:lang w:eastAsia="en-AU"/>
    </w:rPr>
  </w:style>
  <w:style w:type="paragraph" w:styleId="Heading1">
    <w:name w:val="heading 1"/>
    <w:basedOn w:val="Normal"/>
    <w:next w:val="Normal"/>
    <w:link w:val="Heading1Char"/>
    <w:uiPriority w:val="9"/>
    <w:qFormat/>
    <w:rsid w:val="00CD68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rsid w:val="003F1605"/>
    <w:pPr>
      <w:spacing w:before="1440" w:after="120"/>
      <w:jc w:val="both"/>
      <w:outlineLvl w:val="1"/>
    </w:pPr>
    <w:rPr>
      <w:rFonts w:asciiTheme="minorHAnsi" w:hAnsiTheme="minorHAnsi" w:cstheme="minorHAnsi"/>
      <w:b/>
      <w:color w:val="003E74"/>
      <w:sz w:val="30"/>
      <w:szCs w:val="26"/>
    </w:rPr>
  </w:style>
  <w:style w:type="paragraph" w:styleId="Heading3">
    <w:name w:val="heading 3"/>
    <w:basedOn w:val="Heading2"/>
    <w:next w:val="Normal"/>
    <w:link w:val="Heading3Char"/>
    <w:uiPriority w:val="9"/>
    <w:qFormat/>
    <w:rsid w:val="003F1605"/>
    <w:pPr>
      <w:spacing w:before="0"/>
      <w:outlineLvl w:val="2"/>
    </w:pPr>
    <w:rPr>
      <w:b w:val="0"/>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75A70"/>
    <w:rPr>
      <w:rFonts w:eastAsia="Times New Roman" w:cstheme="minorHAnsi"/>
      <w:b/>
      <w:color w:val="003E74"/>
      <w:sz w:val="30"/>
      <w:szCs w:val="26"/>
      <w:lang w:eastAsia="en-AU"/>
    </w:rPr>
  </w:style>
  <w:style w:type="character" w:customStyle="1" w:styleId="Heading3Char">
    <w:name w:val="Heading 3 Char"/>
    <w:basedOn w:val="DefaultParagraphFont"/>
    <w:link w:val="Heading3"/>
    <w:uiPriority w:val="9"/>
    <w:rsid w:val="0028795A"/>
    <w:rPr>
      <w:rFonts w:eastAsia="Times New Roman" w:cstheme="minorHAnsi"/>
      <w:bCs/>
      <w:color w:val="003E74"/>
      <w:sz w:val="30"/>
      <w:szCs w:val="26"/>
      <w:lang w:eastAsia="en-AU"/>
    </w:rPr>
  </w:style>
  <w:style w:type="paragraph" w:styleId="FootnoteText">
    <w:name w:val="footnote text"/>
    <w:basedOn w:val="Normal"/>
    <w:link w:val="FootnoteTextChar"/>
    <w:uiPriority w:val="99"/>
    <w:rsid w:val="00365023"/>
    <w:pPr>
      <w:spacing w:after="0"/>
      <w:ind w:left="567" w:hanging="567"/>
    </w:pPr>
    <w:rPr>
      <w:sz w:val="20"/>
      <w:szCs w:val="20"/>
    </w:rPr>
  </w:style>
  <w:style w:type="character" w:customStyle="1" w:styleId="FootnoteTextChar">
    <w:name w:val="Footnote Text Char"/>
    <w:basedOn w:val="DefaultParagraphFont"/>
    <w:link w:val="FootnoteText"/>
    <w:uiPriority w:val="99"/>
    <w:rsid w:val="00365023"/>
    <w:rPr>
      <w:rFonts w:ascii="Calibri" w:eastAsia="Times New Roman" w:hAnsi="Calibri" w:cs="Times New Roman"/>
      <w:color w:val="000000" w:themeColor="text1"/>
      <w:sz w:val="20"/>
      <w:szCs w:val="20"/>
      <w:lang w:eastAsia="en-AU"/>
    </w:rPr>
  </w:style>
  <w:style w:type="character" w:styleId="FootnoteReference">
    <w:name w:val="footnote reference"/>
    <w:uiPriority w:val="99"/>
    <w:rsid w:val="00365023"/>
    <w:rPr>
      <w:rFonts w:cs="Times New Roman"/>
      <w:vertAlign w:val="superscript"/>
    </w:rPr>
  </w:style>
  <w:style w:type="paragraph" w:styleId="BalloonText">
    <w:name w:val="Balloon Text"/>
    <w:basedOn w:val="Normal"/>
    <w:link w:val="BalloonTextChar"/>
    <w:uiPriority w:val="99"/>
    <w:semiHidden/>
    <w:unhideWhenUsed/>
    <w:rsid w:val="00221D8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D84"/>
    <w:rPr>
      <w:rFonts w:ascii="Segoe UI" w:eastAsia="Times New Roman" w:hAnsi="Segoe UI" w:cs="Segoe UI"/>
      <w:color w:val="000000" w:themeColor="text1"/>
      <w:sz w:val="18"/>
      <w:szCs w:val="18"/>
      <w:lang w:eastAsia="en-AU"/>
    </w:rPr>
  </w:style>
  <w:style w:type="character" w:styleId="CommentReference">
    <w:name w:val="annotation reference"/>
    <w:basedOn w:val="DefaultParagraphFont"/>
    <w:uiPriority w:val="99"/>
    <w:semiHidden/>
    <w:unhideWhenUsed/>
    <w:rsid w:val="00B36FC7"/>
    <w:rPr>
      <w:sz w:val="16"/>
      <w:szCs w:val="16"/>
    </w:rPr>
  </w:style>
  <w:style w:type="paragraph" w:styleId="CommentText">
    <w:name w:val="annotation text"/>
    <w:basedOn w:val="Normal"/>
    <w:link w:val="CommentTextChar"/>
    <w:uiPriority w:val="99"/>
    <w:unhideWhenUsed/>
    <w:rsid w:val="003F1605"/>
    <w:rPr>
      <w:sz w:val="20"/>
      <w:szCs w:val="20"/>
    </w:rPr>
  </w:style>
  <w:style w:type="character" w:customStyle="1" w:styleId="CommentTextChar">
    <w:name w:val="Comment Text Char"/>
    <w:basedOn w:val="DefaultParagraphFont"/>
    <w:link w:val="CommentText"/>
    <w:uiPriority w:val="99"/>
    <w:rsid w:val="00B36FC7"/>
    <w:rPr>
      <w:rFonts w:ascii="Calibri" w:eastAsia="Times New Roman" w:hAnsi="Calibri" w:cs="Times New Roman"/>
      <w:color w:val="000000" w:themeColor="text1"/>
      <w:sz w:val="20"/>
      <w:szCs w:val="20"/>
      <w:lang w:eastAsia="en-AU"/>
    </w:rPr>
  </w:style>
  <w:style w:type="paragraph" w:styleId="CommentSubject">
    <w:name w:val="annotation subject"/>
    <w:basedOn w:val="CommentText"/>
    <w:next w:val="CommentText"/>
    <w:link w:val="CommentSubjectChar"/>
    <w:uiPriority w:val="99"/>
    <w:semiHidden/>
    <w:unhideWhenUsed/>
    <w:rsid w:val="00B36FC7"/>
    <w:rPr>
      <w:b/>
      <w:bCs/>
    </w:rPr>
  </w:style>
  <w:style w:type="character" w:customStyle="1" w:styleId="CommentSubjectChar">
    <w:name w:val="Comment Subject Char"/>
    <w:basedOn w:val="CommentTextChar"/>
    <w:link w:val="CommentSubject"/>
    <w:uiPriority w:val="99"/>
    <w:semiHidden/>
    <w:rsid w:val="00B36FC7"/>
    <w:rPr>
      <w:rFonts w:ascii="Calibri" w:eastAsia="Times New Roman" w:hAnsi="Calibri" w:cs="Times New Roman"/>
      <w:b/>
      <w:bCs/>
      <w:color w:val="000000" w:themeColor="text1"/>
      <w:sz w:val="20"/>
      <w:szCs w:val="20"/>
      <w:lang w:eastAsia="en-AU"/>
    </w:rPr>
  </w:style>
  <w:style w:type="paragraph" w:styleId="Revision">
    <w:name w:val="Revision"/>
    <w:hidden/>
    <w:uiPriority w:val="99"/>
    <w:semiHidden/>
    <w:rsid w:val="006F45B6"/>
    <w:pPr>
      <w:spacing w:after="0" w:line="240" w:lineRule="auto"/>
    </w:pPr>
    <w:rPr>
      <w:rFonts w:ascii="Calibri" w:eastAsia="Times New Roman" w:hAnsi="Calibri" w:cs="Times New Roman"/>
      <w:color w:val="000000" w:themeColor="text1"/>
      <w:sz w:val="24"/>
      <w:szCs w:val="24"/>
      <w:lang w:eastAsia="en-AU"/>
    </w:rPr>
  </w:style>
  <w:style w:type="paragraph" w:styleId="Header">
    <w:name w:val="header"/>
    <w:basedOn w:val="Normal"/>
    <w:link w:val="HeaderChar"/>
    <w:uiPriority w:val="99"/>
    <w:unhideWhenUsed/>
    <w:rsid w:val="003E5C68"/>
    <w:pPr>
      <w:tabs>
        <w:tab w:val="center" w:pos="4513"/>
        <w:tab w:val="right" w:pos="9026"/>
      </w:tabs>
      <w:spacing w:after="0"/>
    </w:pPr>
  </w:style>
  <w:style w:type="character" w:customStyle="1" w:styleId="HeaderChar">
    <w:name w:val="Header Char"/>
    <w:basedOn w:val="DefaultParagraphFont"/>
    <w:link w:val="Header"/>
    <w:uiPriority w:val="99"/>
    <w:rsid w:val="003E5C68"/>
    <w:rPr>
      <w:rFonts w:ascii="Calibri" w:eastAsia="Times New Roman" w:hAnsi="Calibri" w:cs="Times New Roman"/>
      <w:color w:val="000000" w:themeColor="text1"/>
      <w:sz w:val="24"/>
      <w:szCs w:val="24"/>
      <w:lang w:eastAsia="en-AU"/>
    </w:rPr>
  </w:style>
  <w:style w:type="paragraph" w:styleId="Footer">
    <w:name w:val="footer"/>
    <w:basedOn w:val="Normal"/>
    <w:link w:val="FooterChar"/>
    <w:uiPriority w:val="99"/>
    <w:unhideWhenUsed/>
    <w:rsid w:val="003E5C68"/>
    <w:pPr>
      <w:tabs>
        <w:tab w:val="center" w:pos="4513"/>
        <w:tab w:val="right" w:pos="9026"/>
      </w:tabs>
      <w:spacing w:after="0"/>
    </w:pPr>
  </w:style>
  <w:style w:type="character" w:customStyle="1" w:styleId="FooterChar">
    <w:name w:val="Footer Char"/>
    <w:basedOn w:val="DefaultParagraphFont"/>
    <w:link w:val="Footer"/>
    <w:uiPriority w:val="99"/>
    <w:rsid w:val="003E5C68"/>
    <w:rPr>
      <w:rFonts w:ascii="Calibri" w:eastAsia="Times New Roman" w:hAnsi="Calibri" w:cs="Times New Roman"/>
      <w:color w:val="000000" w:themeColor="text1"/>
      <w:sz w:val="24"/>
      <w:szCs w:val="24"/>
      <w:lang w:eastAsia="en-AU"/>
    </w:rPr>
  </w:style>
  <w:style w:type="character" w:styleId="Hyperlink">
    <w:name w:val="Hyperlink"/>
    <w:basedOn w:val="DefaultParagraphFont"/>
    <w:uiPriority w:val="99"/>
    <w:unhideWhenUsed/>
    <w:rsid w:val="003F1605"/>
    <w:rPr>
      <w:color w:val="0000FF"/>
      <w:u w:val="single"/>
    </w:rPr>
  </w:style>
  <w:style w:type="character" w:styleId="UnresolvedMention">
    <w:name w:val="Unresolved Mention"/>
    <w:basedOn w:val="DefaultParagraphFont"/>
    <w:uiPriority w:val="99"/>
    <w:semiHidden/>
    <w:unhideWhenUsed/>
    <w:rsid w:val="00AF74BC"/>
    <w:rPr>
      <w:color w:val="605E5C"/>
      <w:shd w:val="clear" w:color="auto" w:fill="E1DFDD"/>
    </w:rPr>
  </w:style>
  <w:style w:type="paragraph" w:customStyle="1" w:styleId="Bullet">
    <w:name w:val="Bullet"/>
    <w:basedOn w:val="Normal"/>
    <w:link w:val="BulletChar"/>
    <w:rsid w:val="00815187"/>
    <w:pPr>
      <w:numPr>
        <w:numId w:val="1"/>
      </w:numPr>
    </w:pPr>
  </w:style>
  <w:style w:type="character" w:customStyle="1" w:styleId="BulletChar">
    <w:name w:val="Bullet Char"/>
    <w:basedOn w:val="DefaultParagraphFont"/>
    <w:link w:val="Bullet"/>
    <w:rsid w:val="00815187"/>
    <w:rPr>
      <w:rFonts w:ascii="Calibri" w:eastAsia="Times New Roman" w:hAnsi="Calibri" w:cs="Times New Roman"/>
      <w:color w:val="000000" w:themeColor="text1"/>
      <w:sz w:val="24"/>
      <w:szCs w:val="24"/>
      <w:lang w:eastAsia="en-AU"/>
    </w:rPr>
  </w:style>
  <w:style w:type="paragraph" w:customStyle="1" w:styleId="Dash">
    <w:name w:val="Dash"/>
    <w:basedOn w:val="Normal"/>
    <w:link w:val="DashChar"/>
    <w:rsid w:val="00815187"/>
    <w:pPr>
      <w:numPr>
        <w:ilvl w:val="1"/>
        <w:numId w:val="1"/>
      </w:numPr>
    </w:pPr>
  </w:style>
  <w:style w:type="character" w:customStyle="1" w:styleId="DashChar">
    <w:name w:val="Dash Char"/>
    <w:basedOn w:val="DefaultParagraphFont"/>
    <w:link w:val="Dash"/>
    <w:rsid w:val="00815187"/>
    <w:rPr>
      <w:rFonts w:ascii="Calibri" w:eastAsia="Times New Roman" w:hAnsi="Calibri" w:cs="Times New Roman"/>
      <w:color w:val="000000" w:themeColor="text1"/>
      <w:sz w:val="24"/>
      <w:szCs w:val="24"/>
      <w:lang w:eastAsia="en-AU"/>
    </w:rPr>
  </w:style>
  <w:style w:type="paragraph" w:customStyle="1" w:styleId="DoubleDot">
    <w:name w:val="Double Dot"/>
    <w:basedOn w:val="Normal"/>
    <w:link w:val="DoubleDotChar"/>
    <w:rsid w:val="00815187"/>
  </w:style>
  <w:style w:type="character" w:customStyle="1" w:styleId="DoubleDotChar">
    <w:name w:val="Double Dot Char"/>
    <w:basedOn w:val="DefaultParagraphFont"/>
    <w:link w:val="DoubleDot"/>
    <w:rsid w:val="00815187"/>
    <w:rPr>
      <w:rFonts w:ascii="Calibri" w:eastAsia="Times New Roman" w:hAnsi="Calibri" w:cs="Times New Roman"/>
      <w:color w:val="000000" w:themeColor="text1"/>
      <w:sz w:val="24"/>
      <w:szCs w:val="24"/>
      <w:lang w:eastAsia="en-AU"/>
    </w:rPr>
  </w:style>
  <w:style w:type="character" w:customStyle="1" w:styleId="Heading1Char">
    <w:name w:val="Heading 1 Char"/>
    <w:basedOn w:val="DefaultParagraphFont"/>
    <w:link w:val="Heading1"/>
    <w:uiPriority w:val="9"/>
    <w:rsid w:val="00CD687E"/>
    <w:rPr>
      <w:rFonts w:asciiTheme="majorHAnsi" w:eastAsiaTheme="majorEastAsia" w:hAnsiTheme="majorHAnsi" w:cstheme="majorBidi"/>
      <w:color w:val="2E74B5" w:themeColor="accent1" w:themeShade="BF"/>
      <w:sz w:val="32"/>
      <w:szCs w:val="3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555</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2026 Monetary thresholds</vt:lpstr>
    </vt:vector>
  </TitlesOfParts>
  <Manager/>
  <Company/>
  <LinksUpToDate>false</LinksUpToDate>
  <CharactersWithSpaces>3712</CharactersWithSpaces>
  <SharedDoc>false</SharedDoc>
  <HLinks>
    <vt:vector size="6" baseType="variant">
      <vt:variant>
        <vt:i4>5439499</vt:i4>
      </vt:variant>
      <vt:variant>
        <vt:i4>0</vt:i4>
      </vt:variant>
      <vt:variant>
        <vt:i4>0</vt:i4>
      </vt:variant>
      <vt:variant>
        <vt:i4>5</vt:i4>
      </vt:variant>
      <vt:variant>
        <vt:lpwstr>https://www.dfat.gov.au/trade/agreements/in-force/cptpp/comprehensive-and-progressive-agreement-for-trans-pacific-partnership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Monetary thresholds</dc:title>
  <dc:subject/>
  <dc:creator>Treasury</dc:creator>
  <cp:keywords/>
  <dc:description/>
  <cp:lastModifiedBy/>
  <cp:revision>1</cp:revision>
  <dcterms:created xsi:type="dcterms:W3CDTF">2025-12-23T01:52:00Z</dcterms:created>
  <dcterms:modified xsi:type="dcterms:W3CDTF">2025-12-23T01:52:00Z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2025-12-23T01:52:47Z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afd1297c-486b-4bd6-bae1-a377e83248a8</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