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379AA" w14:textId="0F23A7E6" w:rsidR="00986A46" w:rsidRPr="006E76BE" w:rsidRDefault="00AE2829" w:rsidP="00300C95">
      <w:pPr>
        <w:pStyle w:val="Factsheettitle"/>
        <w:spacing w:before="1440"/>
      </w:pPr>
      <w:r>
        <w:t xml:space="preserve">Additional </w:t>
      </w:r>
      <w:r w:rsidR="00591204">
        <w:t>t</w:t>
      </w:r>
      <w:r>
        <w:t xml:space="preserve">axation </w:t>
      </w:r>
      <w:r w:rsidR="00591204">
        <w:t>q</w:t>
      </w:r>
      <w:r w:rsidR="00A55BF0">
        <w:t>uestions</w:t>
      </w:r>
      <w:r w:rsidR="00363BBF">
        <w:t xml:space="preserve"> fact sheet</w:t>
      </w:r>
    </w:p>
    <w:tbl>
      <w:tblPr>
        <w:tblStyle w:val="TableGrid"/>
        <w:tblW w:w="0" w:type="auto"/>
        <w:tblBorders>
          <w:top w:val="none" w:sz="0" w:space="0" w:color="auto"/>
          <w:left w:val="none" w:sz="0" w:space="0" w:color="auto"/>
          <w:bottom w:val="single" w:sz="12" w:space="0" w:color="2C384A" w:themeColor="accent1"/>
          <w:right w:val="none" w:sz="0" w:space="0" w:color="auto"/>
          <w:insideH w:val="none" w:sz="0" w:space="0" w:color="auto"/>
          <w:insideV w:val="none" w:sz="0" w:space="0" w:color="auto"/>
        </w:tblBorders>
        <w:tblLook w:val="04A0" w:firstRow="1" w:lastRow="0" w:firstColumn="1" w:lastColumn="0" w:noHBand="0" w:noVBand="1"/>
      </w:tblPr>
      <w:tblGrid>
        <w:gridCol w:w="8498"/>
      </w:tblGrid>
      <w:tr w:rsidR="00FC2E34" w14:paraId="3A9110F1" w14:textId="77777777" w:rsidTr="00FC2E34">
        <w:tc>
          <w:tcPr>
            <w:tcW w:w="8498" w:type="dxa"/>
            <w:shd w:val="clear" w:color="auto" w:fill="auto"/>
          </w:tcPr>
          <w:p w14:paraId="497F7AA6" w14:textId="4FF6AC20" w:rsidR="00A528C5" w:rsidRPr="00E847A7" w:rsidRDefault="00925951" w:rsidP="0095607D">
            <w:pPr>
              <w:pStyle w:val="Introtext"/>
            </w:pPr>
            <w:r>
              <w:t>You may be prompted to c</w:t>
            </w:r>
            <w:r w:rsidR="0025638A">
              <w:t xml:space="preserve">omplete the additional taxation </w:t>
            </w:r>
            <w:r w:rsidR="005E08F9">
              <w:t>questions</w:t>
            </w:r>
            <w:r w:rsidR="0025638A">
              <w:t xml:space="preserve"> during the submission</w:t>
            </w:r>
            <w:r w:rsidR="008E014E">
              <w:t xml:space="preserve"> or assessment</w:t>
            </w:r>
            <w:r w:rsidR="0025638A">
              <w:t xml:space="preserve"> process</w:t>
            </w:r>
            <w:r w:rsidR="00D276E1">
              <w:t xml:space="preserve"> in the Foreign Investment Portal</w:t>
            </w:r>
            <w:r w:rsidR="00E4352E">
              <w:t>.</w:t>
            </w:r>
          </w:p>
        </w:tc>
      </w:tr>
    </w:tbl>
    <w:p w14:paraId="712B5884" w14:textId="5DE673F4" w:rsidR="00891887" w:rsidRPr="00E11105" w:rsidRDefault="00F70CBD" w:rsidP="00891887">
      <w:pPr>
        <w:pStyle w:val="Heading2"/>
      </w:pPr>
      <w:r>
        <w:t>Key information</w:t>
      </w:r>
    </w:p>
    <w:p w14:paraId="2FE70E14" w14:textId="3FEAC6A5" w:rsidR="005A343A" w:rsidRDefault="008E014E" w:rsidP="5A0396C9">
      <w:pPr>
        <w:spacing w:line="259" w:lineRule="auto"/>
      </w:pPr>
      <w:r>
        <w:t xml:space="preserve">The Treasury may ask you to provide additional taxation information when </w:t>
      </w:r>
      <w:r w:rsidR="001C2EC9">
        <w:t xml:space="preserve">you </w:t>
      </w:r>
      <w:r>
        <w:t>submi</w:t>
      </w:r>
      <w:r w:rsidR="001C2EC9">
        <w:t>t a proposal in</w:t>
      </w:r>
      <w:r>
        <w:t xml:space="preserve"> the </w:t>
      </w:r>
      <w:r w:rsidR="00890AD9">
        <w:t>portal</w:t>
      </w:r>
      <w:r w:rsidR="00501D00">
        <w:t>.</w:t>
      </w:r>
    </w:p>
    <w:p w14:paraId="05E73F30" w14:textId="5C9EEDA0" w:rsidR="00891887" w:rsidRDefault="00501D00" w:rsidP="5A0396C9">
      <w:pPr>
        <w:spacing w:line="259" w:lineRule="auto"/>
      </w:pPr>
      <w:r>
        <w:t xml:space="preserve">Alternatively, </w:t>
      </w:r>
      <w:r w:rsidR="005A343A">
        <w:t xml:space="preserve">you may be asked </w:t>
      </w:r>
      <w:r w:rsidR="00475DCB">
        <w:t xml:space="preserve">via the portal </w:t>
      </w:r>
      <w:r w:rsidR="005A343A">
        <w:t xml:space="preserve">to provide </w:t>
      </w:r>
      <w:r w:rsidR="00CD55B3">
        <w:t>this information</w:t>
      </w:r>
      <w:r>
        <w:t xml:space="preserve"> </w:t>
      </w:r>
      <w:r w:rsidR="005A343A">
        <w:t>during</w:t>
      </w:r>
      <w:r w:rsidR="455A73A6">
        <w:t xml:space="preserve"> </w:t>
      </w:r>
      <w:r w:rsidR="003E772A">
        <w:t xml:space="preserve">the </w:t>
      </w:r>
      <w:r w:rsidR="00FB4ECB">
        <w:t>assess</w:t>
      </w:r>
      <w:r w:rsidR="1C03DF45">
        <w:t>ment process</w:t>
      </w:r>
      <w:r w:rsidR="00FB4ECB">
        <w:t>.</w:t>
      </w:r>
    </w:p>
    <w:p w14:paraId="0BE50BB1" w14:textId="423AD84F" w:rsidR="004A4413" w:rsidRDefault="005E08F9" w:rsidP="0095045C">
      <w:pPr>
        <w:pStyle w:val="Bullet"/>
        <w:numPr>
          <w:ilvl w:val="0"/>
          <w:numId w:val="0"/>
        </w:numPr>
      </w:pPr>
      <w:r>
        <w:t>If you</w:t>
      </w:r>
      <w:r w:rsidR="00911CF1">
        <w:t>’re</w:t>
      </w:r>
      <w:r>
        <w:t xml:space="preserve"> prompted to complete the</w:t>
      </w:r>
      <w:r w:rsidR="0095045C">
        <w:t xml:space="preserve"> </w:t>
      </w:r>
      <w:r w:rsidR="00BA7D9D">
        <w:t>a</w:t>
      </w:r>
      <w:r w:rsidR="001439F2">
        <w:t>dditional taxation questions,</w:t>
      </w:r>
      <w:r>
        <w:t xml:space="preserve"> </w:t>
      </w:r>
      <w:r w:rsidR="001C6652">
        <w:t>y</w:t>
      </w:r>
      <w:r w:rsidR="00BD2518">
        <w:t xml:space="preserve">ou </w:t>
      </w:r>
      <w:r w:rsidR="00A55BF0">
        <w:t>will need to</w:t>
      </w:r>
      <w:r w:rsidR="00976E71">
        <w:t xml:space="preserve"> </w:t>
      </w:r>
      <w:r w:rsidR="005A2A2F">
        <w:t>copy</w:t>
      </w:r>
      <w:r w:rsidR="7A3AF464">
        <w:t xml:space="preserve"> the questions, </w:t>
      </w:r>
      <w:proofErr w:type="gramStart"/>
      <w:r w:rsidR="00976E71">
        <w:t>complete</w:t>
      </w:r>
      <w:proofErr w:type="gramEnd"/>
      <w:r w:rsidR="00890AD9">
        <w:t xml:space="preserve"> and save</w:t>
      </w:r>
      <w:r w:rsidR="00976E71">
        <w:t xml:space="preserve"> them </w:t>
      </w:r>
      <w:r w:rsidR="005A343A">
        <w:t>in a document outside of the portal</w:t>
      </w:r>
      <w:r w:rsidR="004A4413">
        <w:t>.</w:t>
      </w:r>
    </w:p>
    <w:p w14:paraId="6F318C77" w14:textId="590478FD" w:rsidR="005A2A2F" w:rsidRDefault="000B5040" w:rsidP="006F21BC">
      <w:pPr>
        <w:pStyle w:val="ListParagraph"/>
        <w:numPr>
          <w:ilvl w:val="0"/>
          <w:numId w:val="9"/>
        </w:numPr>
        <w:ind w:left="284" w:hanging="284"/>
        <w:contextualSpacing w:val="0"/>
      </w:pPr>
      <w:r>
        <w:t xml:space="preserve">When </w:t>
      </w:r>
      <w:r w:rsidR="345E458E">
        <w:t>lodging</w:t>
      </w:r>
      <w:r>
        <w:t xml:space="preserve"> a submission</w:t>
      </w:r>
      <w:r w:rsidR="00553DFF">
        <w:t xml:space="preserve"> in the </w:t>
      </w:r>
      <w:r w:rsidR="000B200F">
        <w:t>p</w:t>
      </w:r>
      <w:r w:rsidR="00553DFF">
        <w:t>ortal</w:t>
      </w:r>
      <w:r w:rsidR="11C0DCEC">
        <w:t>,</w:t>
      </w:r>
      <w:r>
        <w:t xml:space="preserve"> </w:t>
      </w:r>
      <w:r w:rsidR="00FF4C83">
        <w:t xml:space="preserve">you </w:t>
      </w:r>
      <w:r w:rsidR="7F388FB2">
        <w:t>will be required to</w:t>
      </w:r>
      <w:r w:rsidR="00FF4C83">
        <w:t xml:space="preserve"> upload </w:t>
      </w:r>
      <w:r w:rsidR="00A55BF0">
        <w:t>the completed</w:t>
      </w:r>
      <w:r w:rsidR="00BB3B01">
        <w:t xml:space="preserve"> document into the</w:t>
      </w:r>
      <w:r>
        <w:t xml:space="preserve"> </w:t>
      </w:r>
      <w:r w:rsidRPr="000B5040">
        <w:rPr>
          <w:b/>
          <w:bCs/>
        </w:rPr>
        <w:t>Financing Questionnaire</w:t>
      </w:r>
      <w:r>
        <w:t xml:space="preserve"> section.</w:t>
      </w:r>
    </w:p>
    <w:p w14:paraId="4F0A331B" w14:textId="2812A65D" w:rsidR="000D2D66" w:rsidRDefault="000B5040" w:rsidP="006F21BC">
      <w:pPr>
        <w:pStyle w:val="ListParagraph"/>
        <w:numPr>
          <w:ilvl w:val="0"/>
          <w:numId w:val="9"/>
        </w:numPr>
        <w:ind w:left="284" w:hanging="284"/>
        <w:contextualSpacing w:val="0"/>
      </w:pPr>
      <w:r>
        <w:t xml:space="preserve">If you have </w:t>
      </w:r>
      <w:r w:rsidR="470F5D16">
        <w:t>lodged</w:t>
      </w:r>
      <w:r>
        <w:t xml:space="preserve"> you</w:t>
      </w:r>
      <w:r w:rsidR="007D0D5E">
        <w:t>r</w:t>
      </w:r>
      <w:r>
        <w:t xml:space="preserve"> submission</w:t>
      </w:r>
      <w:r w:rsidR="007D0D5E">
        <w:t xml:space="preserve"> and</w:t>
      </w:r>
      <w:r>
        <w:t xml:space="preserve"> receive </w:t>
      </w:r>
      <w:r w:rsidR="00553DFF">
        <w:t>a portal</w:t>
      </w:r>
      <w:r w:rsidR="0061377D">
        <w:t xml:space="preserve"> message</w:t>
      </w:r>
      <w:r>
        <w:t xml:space="preserve"> </w:t>
      </w:r>
      <w:r w:rsidR="00B41472">
        <w:t xml:space="preserve">to complete the questions, you </w:t>
      </w:r>
      <w:r w:rsidR="7CA414AF">
        <w:t>will be required to</w:t>
      </w:r>
      <w:r>
        <w:t xml:space="preserve"> attach the</w:t>
      </w:r>
      <w:r w:rsidR="00A55BF0">
        <w:t xml:space="preserve"> completed</w:t>
      </w:r>
      <w:r w:rsidR="00B41472">
        <w:t xml:space="preserve"> document</w:t>
      </w:r>
      <w:r>
        <w:t xml:space="preserve"> to </w:t>
      </w:r>
      <w:r w:rsidR="000D2D66">
        <w:t xml:space="preserve">your </w:t>
      </w:r>
      <w:r>
        <w:t>reply message in the portal.</w:t>
      </w:r>
    </w:p>
    <w:p w14:paraId="56FC0FB1" w14:textId="548EA863" w:rsidR="000B5040" w:rsidRDefault="000B5040" w:rsidP="006F21BC">
      <w:pPr>
        <w:pStyle w:val="ListParagraph"/>
        <w:numPr>
          <w:ilvl w:val="0"/>
          <w:numId w:val="9"/>
        </w:numPr>
        <w:ind w:left="284" w:hanging="284"/>
        <w:contextualSpacing w:val="0"/>
      </w:pPr>
      <w:r>
        <w:t xml:space="preserve">You will receive a confirmation </w:t>
      </w:r>
      <w:r w:rsidR="008667E8">
        <w:t xml:space="preserve">message via the portal </w:t>
      </w:r>
      <w:r>
        <w:t xml:space="preserve">that your </w:t>
      </w:r>
      <w:r w:rsidR="00C62826">
        <w:t>financing questionnaire response</w:t>
      </w:r>
      <w:r w:rsidR="00416B6D">
        <w:t xml:space="preserve"> w</w:t>
      </w:r>
      <w:r w:rsidR="00FC00F1">
        <w:t>as</w:t>
      </w:r>
      <w:r w:rsidR="00416B6D">
        <w:t xml:space="preserve"> </w:t>
      </w:r>
      <w:r w:rsidR="00C62826">
        <w:t>s</w:t>
      </w:r>
      <w:r w:rsidR="00416B6D">
        <w:t>uccessfully received</w:t>
      </w:r>
      <w:r>
        <w:t>.</w:t>
      </w:r>
    </w:p>
    <w:p w14:paraId="7CF3682C" w14:textId="60ACDCFF" w:rsidR="00760D40" w:rsidRPr="00E11105" w:rsidRDefault="00E03326" w:rsidP="00760D40">
      <w:pPr>
        <w:pStyle w:val="Heading2"/>
      </w:pPr>
      <w:bookmarkStart w:id="0" w:name="_Additional_taxation_questions"/>
      <w:bookmarkEnd w:id="0"/>
      <w:r>
        <w:t>Additional taxation questions</w:t>
      </w:r>
    </w:p>
    <w:p w14:paraId="41707CF2" w14:textId="2E9C7CDC" w:rsidR="006308A6" w:rsidRPr="003B7DC9" w:rsidRDefault="00C46608" w:rsidP="003B7DC9">
      <w:pPr>
        <w:keepLines/>
        <w:numPr>
          <w:ilvl w:val="0"/>
          <w:numId w:val="11"/>
        </w:numPr>
        <w:spacing w:after="0" w:line="276" w:lineRule="auto"/>
        <w:outlineLvl w:val="1"/>
        <w:rPr>
          <w:rFonts w:cs="Calibri Light"/>
          <w:bCs/>
          <w:iCs/>
          <w:szCs w:val="22"/>
        </w:rPr>
      </w:pPr>
      <w:r>
        <w:rPr>
          <w:rFonts w:cs="Calibri Light"/>
        </w:rPr>
        <w:t xml:space="preserve">Provide </w:t>
      </w:r>
      <w:r w:rsidRPr="120B9095">
        <w:rPr>
          <w:rFonts w:cs="Calibri Light"/>
        </w:rPr>
        <w:t xml:space="preserve">the name, position and firm of any tax advisers who advised </w:t>
      </w:r>
      <w:r w:rsidR="00193F50">
        <w:rPr>
          <w:rFonts w:cs="Calibri Light"/>
        </w:rPr>
        <w:t xml:space="preserve">you </w:t>
      </w:r>
      <w:r w:rsidRPr="120B9095">
        <w:rPr>
          <w:rFonts w:cs="Calibri Light"/>
        </w:rPr>
        <w:t xml:space="preserve">on Australian </w:t>
      </w:r>
      <w:r w:rsidRPr="003B7DC9">
        <w:rPr>
          <w:rFonts w:cs="Calibri Light"/>
          <w:bCs/>
          <w:iCs/>
          <w:szCs w:val="22"/>
        </w:rPr>
        <w:t xml:space="preserve">tax matters in relation to this transaction, </w:t>
      </w:r>
      <w:proofErr w:type="gramStart"/>
      <w:r w:rsidRPr="003B7DC9">
        <w:rPr>
          <w:rFonts w:cs="Calibri Light"/>
          <w:bCs/>
          <w:iCs/>
          <w:szCs w:val="22"/>
        </w:rPr>
        <w:t>submission</w:t>
      </w:r>
      <w:proofErr w:type="gramEnd"/>
      <w:r w:rsidRPr="003B7DC9">
        <w:rPr>
          <w:rFonts w:cs="Calibri Light"/>
          <w:bCs/>
          <w:iCs/>
          <w:szCs w:val="22"/>
        </w:rPr>
        <w:t xml:space="preserve"> or request for information.</w:t>
      </w:r>
    </w:p>
    <w:p w14:paraId="5F6D1DDA" w14:textId="56062D4C" w:rsidR="006308A6" w:rsidRPr="00875BD7" w:rsidRDefault="006308A6" w:rsidP="000A71F1">
      <w:pPr>
        <w:keepLines/>
        <w:numPr>
          <w:ilvl w:val="0"/>
          <w:numId w:val="11"/>
        </w:numPr>
        <w:spacing w:after="0" w:line="276" w:lineRule="auto"/>
        <w:outlineLvl w:val="1"/>
        <w:rPr>
          <w:rFonts w:cs="Calibri Light"/>
        </w:rPr>
      </w:pPr>
      <w:r w:rsidRPr="003B7DC9">
        <w:rPr>
          <w:rFonts w:cs="Calibri Light"/>
          <w:bCs/>
          <w:iCs/>
          <w:szCs w:val="22"/>
        </w:rPr>
        <w:t>Provide an</w:t>
      </w:r>
      <w:r w:rsidRPr="5052A8DF">
        <w:rPr>
          <w:rFonts w:cs="Calibri Light"/>
        </w:rPr>
        <w:t xml:space="preserve"> overview of the acquisition/restructure (Transaction) step plan including a diagram of the pre</w:t>
      </w:r>
      <w:r w:rsidR="00950E3A">
        <w:rPr>
          <w:rFonts w:cs="Calibri Light"/>
        </w:rPr>
        <w:t>-</w:t>
      </w:r>
      <w:r w:rsidRPr="5052A8DF">
        <w:rPr>
          <w:rFonts w:cs="Calibri Light"/>
        </w:rPr>
        <w:t xml:space="preserve"> and </w:t>
      </w:r>
      <w:r w:rsidR="00950E3A" w:rsidRPr="5052A8DF">
        <w:rPr>
          <w:rFonts w:cs="Calibri Light"/>
        </w:rPr>
        <w:t>post</w:t>
      </w:r>
      <w:r w:rsidR="00950E3A">
        <w:rPr>
          <w:rFonts w:cs="Calibri Light"/>
        </w:rPr>
        <w:t>-</w:t>
      </w:r>
      <w:r w:rsidRPr="5052A8DF">
        <w:rPr>
          <w:rFonts w:cs="Calibri Light"/>
        </w:rPr>
        <w:t>Transaction organisational structures of the Target that includes the flow of funds used to finance the Transaction, as well as the legal form and tax residency of the ultimate investor(s) or shareholder(s) (‘Investors’) and all of the entities interposed between them and the Target.</w:t>
      </w:r>
      <w:r w:rsidR="004D12A9">
        <w:rPr>
          <w:rFonts w:cs="Calibri Light"/>
        </w:rPr>
        <w:br/>
      </w:r>
      <w:r w:rsidRPr="5052A8DF">
        <w:rPr>
          <w:rFonts w:cs="Calibri Light"/>
        </w:rPr>
        <w:t>Where relevant, the diagram must include:</w:t>
      </w:r>
    </w:p>
    <w:p w14:paraId="2FECF8B9" w14:textId="701E64EF" w:rsidR="00AE121B" w:rsidRPr="003F171F" w:rsidRDefault="00A81F90" w:rsidP="00974DB6">
      <w:pPr>
        <w:pStyle w:val="ListParagraph"/>
        <w:numPr>
          <w:ilvl w:val="0"/>
          <w:numId w:val="12"/>
        </w:numPr>
        <w:spacing w:afterLines="60" w:after="144"/>
        <w:rPr>
          <w:rFonts w:cs="Calibri Light"/>
        </w:rPr>
      </w:pPr>
      <w:r>
        <w:rPr>
          <w:rFonts w:cs="Calibri Light"/>
        </w:rPr>
        <w:t>Australian tax consolidation status</w:t>
      </w:r>
      <w:r w:rsidR="00AE29D5">
        <w:rPr>
          <w:rFonts w:cs="Calibri Light"/>
        </w:rPr>
        <w:t xml:space="preserve"> </w:t>
      </w:r>
      <w:r w:rsidR="00AE29D5" w:rsidRPr="00875BD7">
        <w:rPr>
          <w:rFonts w:cs="Calibri Light"/>
          <w:bCs/>
          <w:iCs/>
          <w:szCs w:val="22"/>
        </w:rPr>
        <w:t>(</w:t>
      </w:r>
      <w:r w:rsidR="00D42565">
        <w:rPr>
          <w:rFonts w:cs="Calibri Light"/>
          <w:bCs/>
          <w:iCs/>
          <w:szCs w:val="22"/>
        </w:rPr>
        <w:t>for example,</w:t>
      </w:r>
      <w:r w:rsidR="00AE29D5" w:rsidRPr="00875BD7">
        <w:rPr>
          <w:rFonts w:cs="Calibri Light"/>
          <w:bCs/>
          <w:iCs/>
          <w:szCs w:val="22"/>
        </w:rPr>
        <w:t xml:space="preserve"> identify head company of the group and subsidiary members)</w:t>
      </w:r>
    </w:p>
    <w:p w14:paraId="2A8859CF" w14:textId="5C466B8D" w:rsidR="003F171F" w:rsidRPr="003F171F" w:rsidRDefault="003F171F" w:rsidP="00974DB6">
      <w:pPr>
        <w:pStyle w:val="ListParagraph"/>
        <w:numPr>
          <w:ilvl w:val="0"/>
          <w:numId w:val="12"/>
        </w:numPr>
        <w:spacing w:afterLines="60" w:after="144"/>
        <w:rPr>
          <w:rFonts w:cs="Calibri Light"/>
        </w:rPr>
      </w:pPr>
      <w:r w:rsidRPr="00875BD7">
        <w:rPr>
          <w:rFonts w:cs="Calibri Light"/>
          <w:bCs/>
          <w:iCs/>
          <w:szCs w:val="22"/>
        </w:rPr>
        <w:lastRenderedPageBreak/>
        <w:t>Australian tax characterisation of trust (</w:t>
      </w:r>
      <w:r w:rsidR="00D42565">
        <w:rPr>
          <w:rFonts w:cs="Calibri Light"/>
          <w:bCs/>
          <w:iCs/>
          <w:szCs w:val="22"/>
        </w:rPr>
        <w:t>for example,</w:t>
      </w:r>
      <w:r w:rsidRPr="00875BD7">
        <w:rPr>
          <w:rFonts w:cs="Calibri Light"/>
          <w:bCs/>
          <w:iCs/>
          <w:szCs w:val="22"/>
        </w:rPr>
        <w:t xml:space="preserve"> flow-through trust, public trading trust, managed investment trust, non-resident beneficiary that is assessed under section 98A of the </w:t>
      </w:r>
      <w:r w:rsidRPr="006E24D9">
        <w:rPr>
          <w:rFonts w:cs="Calibri Light"/>
          <w:bCs/>
          <w:i/>
          <w:szCs w:val="22"/>
        </w:rPr>
        <w:t>Income Tax Assessment Act 1936</w:t>
      </w:r>
      <w:r>
        <w:rPr>
          <w:rFonts w:cs="Calibri Light"/>
          <w:bCs/>
          <w:iCs/>
          <w:szCs w:val="22"/>
        </w:rPr>
        <w:t>)</w:t>
      </w:r>
    </w:p>
    <w:p w14:paraId="75A7957A" w14:textId="1C5370D0" w:rsidR="003F171F" w:rsidRPr="007A7BA5" w:rsidRDefault="007A7BA5" w:rsidP="00974DB6">
      <w:pPr>
        <w:pStyle w:val="ListParagraph"/>
        <w:numPr>
          <w:ilvl w:val="0"/>
          <w:numId w:val="12"/>
        </w:numPr>
        <w:spacing w:afterLines="60" w:after="144"/>
        <w:rPr>
          <w:rFonts w:cs="Calibri Light"/>
        </w:rPr>
      </w:pPr>
      <w:r w:rsidRPr="00875BD7">
        <w:rPr>
          <w:rFonts w:cs="Calibri Light"/>
          <w:szCs w:val="22"/>
        </w:rPr>
        <w:t>role of the entities (</w:t>
      </w:r>
      <w:r w:rsidR="00D42565">
        <w:rPr>
          <w:rFonts w:cs="Calibri Light"/>
          <w:bCs/>
          <w:iCs/>
          <w:szCs w:val="22"/>
        </w:rPr>
        <w:t>for example,</w:t>
      </w:r>
      <w:r w:rsidRPr="00875BD7">
        <w:rPr>
          <w:rFonts w:cs="Calibri Light"/>
          <w:szCs w:val="22"/>
        </w:rPr>
        <w:t xml:space="preserve"> holding entity, finance entity, SPV, operating entity)</w:t>
      </w:r>
      <w:r w:rsidR="00A55BF0">
        <w:rPr>
          <w:rFonts w:cs="Calibri Light"/>
          <w:szCs w:val="22"/>
        </w:rPr>
        <w:t xml:space="preserve"> and</w:t>
      </w:r>
    </w:p>
    <w:p w14:paraId="12903B0F" w14:textId="70C5C2A4" w:rsidR="00964399" w:rsidRPr="00964399" w:rsidRDefault="00203FB5" w:rsidP="00964399">
      <w:pPr>
        <w:pStyle w:val="ListParagraph"/>
        <w:numPr>
          <w:ilvl w:val="0"/>
          <w:numId w:val="12"/>
        </w:numPr>
        <w:spacing w:before="0"/>
        <w:contextualSpacing w:val="0"/>
        <w:rPr>
          <w:rFonts w:cs="Calibri Light"/>
          <w:szCs w:val="22"/>
        </w:rPr>
      </w:pPr>
      <w:r w:rsidRPr="00875BD7">
        <w:rPr>
          <w:rFonts w:cs="Calibri Light"/>
          <w:szCs w:val="22"/>
        </w:rPr>
        <w:t>a description of the income producing assets of the entities (what is/ or will be its main source of income</w:t>
      </w:r>
      <w:r>
        <w:rPr>
          <w:rFonts w:cs="Calibri Light"/>
          <w:szCs w:val="22"/>
        </w:rPr>
        <w:t>.</w:t>
      </w:r>
    </w:p>
    <w:p w14:paraId="76ACA664" w14:textId="77777777" w:rsidR="001A1581" w:rsidRDefault="002678D6" w:rsidP="00964399">
      <w:pPr>
        <w:keepLines/>
        <w:numPr>
          <w:ilvl w:val="0"/>
          <w:numId w:val="11"/>
        </w:numPr>
        <w:spacing w:line="276" w:lineRule="auto"/>
        <w:outlineLvl w:val="1"/>
        <w:rPr>
          <w:rFonts w:cs="Calibri Light"/>
          <w:bCs/>
          <w:iCs/>
          <w:szCs w:val="22"/>
        </w:rPr>
      </w:pPr>
      <w:r w:rsidRPr="00875BD7">
        <w:rPr>
          <w:rFonts w:cs="Calibri Light"/>
          <w:bCs/>
          <w:iCs/>
          <w:szCs w:val="22"/>
        </w:rPr>
        <w:t xml:space="preserve">State if the ultimate unitholders or shareholders (either directly or indirectly via a wholly owned subsidiary or associate) propose to borrow from a third party for the purpose of financing part or </w:t>
      </w:r>
      <w:proofErr w:type="gramStart"/>
      <w:r w:rsidRPr="00875BD7">
        <w:rPr>
          <w:rFonts w:cs="Calibri Light"/>
          <w:bCs/>
          <w:iCs/>
          <w:szCs w:val="22"/>
        </w:rPr>
        <w:t>all of</w:t>
      </w:r>
      <w:proofErr w:type="gramEnd"/>
      <w:r w:rsidRPr="00875BD7">
        <w:rPr>
          <w:rFonts w:cs="Calibri Light"/>
          <w:bCs/>
          <w:iCs/>
          <w:szCs w:val="22"/>
        </w:rPr>
        <w:t xml:space="preserve"> the proposed acquisition.</w:t>
      </w:r>
    </w:p>
    <w:p w14:paraId="00CAC926" w14:textId="0143908C" w:rsidR="001A1581" w:rsidRDefault="002678D6" w:rsidP="001A1581">
      <w:pPr>
        <w:pStyle w:val="Bullet"/>
        <w:numPr>
          <w:ilvl w:val="1"/>
          <w:numId w:val="7"/>
        </w:numPr>
      </w:pPr>
      <w:r w:rsidRPr="00875BD7">
        <w:t>If yes, provide the following information for each third-party loan:</w:t>
      </w:r>
    </w:p>
    <w:p w14:paraId="0D764F49" w14:textId="3891E79D" w:rsidR="001A1581" w:rsidRDefault="002678D6" w:rsidP="001A1581">
      <w:pPr>
        <w:pStyle w:val="Bullet"/>
        <w:numPr>
          <w:ilvl w:val="2"/>
          <w:numId w:val="7"/>
        </w:numPr>
      </w:pPr>
      <w:r w:rsidRPr="00875BD7">
        <w:t>lender’s name</w:t>
      </w:r>
    </w:p>
    <w:p w14:paraId="6CCE3694" w14:textId="76044DCA" w:rsidR="001A1581" w:rsidRDefault="002678D6" w:rsidP="001A1581">
      <w:pPr>
        <w:pStyle w:val="Bullet"/>
        <w:numPr>
          <w:ilvl w:val="2"/>
          <w:numId w:val="7"/>
        </w:numPr>
      </w:pPr>
      <w:r w:rsidRPr="00875BD7">
        <w:t>amount</w:t>
      </w:r>
    </w:p>
    <w:p w14:paraId="5A3B8948" w14:textId="34FBEB7A" w:rsidR="001A1581" w:rsidRDefault="002678D6" w:rsidP="001A1581">
      <w:pPr>
        <w:pStyle w:val="Bullet"/>
        <w:numPr>
          <w:ilvl w:val="2"/>
          <w:numId w:val="7"/>
        </w:numPr>
      </w:pPr>
      <w:r w:rsidRPr="00875BD7">
        <w:t>currency used and</w:t>
      </w:r>
    </w:p>
    <w:p w14:paraId="77D188AF" w14:textId="7C04CC19" w:rsidR="002678D6" w:rsidRDefault="002678D6" w:rsidP="006E24D9">
      <w:pPr>
        <w:pStyle w:val="Bullet"/>
        <w:numPr>
          <w:ilvl w:val="2"/>
          <w:numId w:val="7"/>
        </w:numPr>
      </w:pPr>
      <w:r w:rsidRPr="00875BD7">
        <w:t xml:space="preserve"> rate of interest (including AUD equivalent interest rate).</w:t>
      </w:r>
    </w:p>
    <w:p w14:paraId="2E81F6B9" w14:textId="77777777" w:rsidR="003B7DC9" w:rsidRPr="005F0034" w:rsidRDefault="003B7DC9" w:rsidP="003B7DC9">
      <w:pPr>
        <w:keepLines/>
        <w:numPr>
          <w:ilvl w:val="0"/>
          <w:numId w:val="11"/>
        </w:numPr>
        <w:spacing w:after="200" w:line="276" w:lineRule="auto"/>
        <w:ind w:left="357" w:hanging="357"/>
        <w:outlineLvl w:val="1"/>
        <w:rPr>
          <w:rFonts w:cs="Calibri Light"/>
          <w:bCs/>
          <w:iCs/>
          <w:szCs w:val="22"/>
        </w:rPr>
      </w:pPr>
      <w:r w:rsidRPr="00875BD7">
        <w:rPr>
          <w:rFonts w:cs="Calibri Light"/>
          <w:bCs/>
          <w:iCs/>
          <w:szCs w:val="22"/>
        </w:rPr>
        <w:t>Using the below table, provide details of the existing and/or proposed debt and equity arrangements of</w:t>
      </w:r>
      <w:r w:rsidRPr="00875BD7">
        <w:rPr>
          <w:rFonts w:cs="Calibri Light"/>
          <w:szCs w:val="22"/>
        </w:rPr>
        <w:t xml:space="preserve"> Australian entities, including </w:t>
      </w:r>
      <w:r w:rsidRPr="00875BD7">
        <w:rPr>
          <w:rFonts w:cs="Calibri Light"/>
          <w:bCs/>
          <w:szCs w:val="22"/>
        </w:rPr>
        <w:t>Australian Bid/Hold Co(s) used for the purpose of acquiring Target Co/Group and/or interest in Australian land/assets</w:t>
      </w:r>
      <w:r w:rsidRPr="00875BD7">
        <w:rPr>
          <w:rFonts w:cs="Calibri Light"/>
          <w:szCs w:val="22"/>
        </w:rPr>
        <w:t>. To avoid doubt, this table should be completed for both new (including proposed) and existing debt of Australian entities.</w:t>
      </w:r>
    </w:p>
    <w:p w14:paraId="4AE2DC11" w14:textId="77777777" w:rsidR="003B7DC9" w:rsidRDefault="003B7DC9" w:rsidP="003B7DC9">
      <w:pPr>
        <w:keepLines/>
        <w:ind w:left="357"/>
        <w:outlineLvl w:val="1"/>
        <w:rPr>
          <w:rFonts w:cs="Calibri Light"/>
          <w:iCs/>
          <w:szCs w:val="22"/>
        </w:rPr>
      </w:pPr>
      <w:r w:rsidRPr="00875BD7">
        <w:rPr>
          <w:rFonts w:cs="Calibri Light"/>
          <w:iCs/>
          <w:szCs w:val="22"/>
        </w:rPr>
        <w:t xml:space="preserve">Provide details of existing and/or proposed debt and equity arrangements of any non-resident direct beneficiaries/unitholders of Division 6 trusts, to the extent that they are expected to give rise to deductible amounts against the distributions from Division 6 trusts. </w:t>
      </w:r>
    </w:p>
    <w:tbl>
      <w:tblPr>
        <w:tblStyle w:val="TableGrid"/>
        <w:tblW w:w="8215" w:type="dxa"/>
        <w:tblInd w:w="279" w:type="dxa"/>
        <w:tblLook w:val="04A0" w:firstRow="1" w:lastRow="0" w:firstColumn="1" w:lastColumn="0" w:noHBand="0" w:noVBand="1"/>
      </w:tblPr>
      <w:tblGrid>
        <w:gridCol w:w="5812"/>
        <w:gridCol w:w="2403"/>
      </w:tblGrid>
      <w:tr w:rsidR="00E6784E" w14:paraId="2E6D1D89" w14:textId="77777777" w:rsidTr="29579477">
        <w:tc>
          <w:tcPr>
            <w:tcW w:w="5812" w:type="dxa"/>
            <w:shd w:val="clear" w:color="auto" w:fill="6B83A7" w:themeFill="accent1" w:themeFillTint="99"/>
          </w:tcPr>
          <w:p w14:paraId="396487AB" w14:textId="653F0AB2" w:rsidR="00E6784E" w:rsidRPr="00B77326" w:rsidRDefault="00E6784E" w:rsidP="0048664D">
            <w:pPr>
              <w:autoSpaceDE w:val="0"/>
              <w:autoSpaceDN w:val="0"/>
              <w:adjustRightInd w:val="0"/>
              <w:jc w:val="both"/>
              <w:rPr>
                <w:b/>
                <w:bCs/>
                <w:color w:val="FFFFFF" w:themeColor="background1"/>
              </w:rPr>
            </w:pPr>
            <w:r>
              <w:rPr>
                <w:b/>
                <w:bCs/>
                <w:color w:val="FFFFFF" w:themeColor="background1"/>
              </w:rPr>
              <w:t>Key terms</w:t>
            </w:r>
          </w:p>
        </w:tc>
        <w:tc>
          <w:tcPr>
            <w:tcW w:w="2403" w:type="dxa"/>
            <w:shd w:val="clear" w:color="auto" w:fill="6B83A7" w:themeFill="accent1" w:themeFillTint="99"/>
          </w:tcPr>
          <w:p w14:paraId="60B582F0" w14:textId="0EF711EB" w:rsidR="00E6784E" w:rsidRPr="00B77326" w:rsidRDefault="00E6784E" w:rsidP="08EFD2B8">
            <w:pPr>
              <w:autoSpaceDE w:val="0"/>
              <w:autoSpaceDN w:val="0"/>
              <w:adjustRightInd w:val="0"/>
              <w:jc w:val="both"/>
              <w:rPr>
                <w:b/>
                <w:bCs/>
                <w:color w:val="FFFFFF" w:themeColor="background1"/>
              </w:rPr>
            </w:pPr>
          </w:p>
        </w:tc>
      </w:tr>
      <w:tr w:rsidR="00E6784E" w14:paraId="5859EC8E" w14:textId="77777777" w:rsidTr="29579477">
        <w:tc>
          <w:tcPr>
            <w:tcW w:w="5812" w:type="dxa"/>
            <w:shd w:val="clear" w:color="auto" w:fill="F2F2F2" w:themeFill="background1" w:themeFillShade="F2"/>
          </w:tcPr>
          <w:p w14:paraId="0DBF8B5E" w14:textId="179B30C7" w:rsidR="00E6784E" w:rsidRPr="00B276E4" w:rsidRDefault="009C1EA9" w:rsidP="0048664D">
            <w:pPr>
              <w:autoSpaceDE w:val="0"/>
              <w:autoSpaceDN w:val="0"/>
              <w:adjustRightInd w:val="0"/>
            </w:pPr>
            <w:r w:rsidRPr="00875BD7">
              <w:rPr>
                <w:rFonts w:cs="Calibri Light"/>
              </w:rPr>
              <w:t>Legal characterisation (</w:t>
            </w:r>
            <w:r w:rsidR="00EF11F4">
              <w:rPr>
                <w:rFonts w:cs="Calibri Light"/>
              </w:rPr>
              <w:t>for example,</w:t>
            </w:r>
            <w:r w:rsidRPr="00875BD7">
              <w:rPr>
                <w:rFonts w:cs="Calibri Light"/>
              </w:rPr>
              <w:t xml:space="preserve"> loan, note, ordinary shares, preference shares </w:t>
            </w:r>
            <w:r w:rsidR="00EF11F4">
              <w:rPr>
                <w:rFonts w:cs="Calibri Light"/>
              </w:rPr>
              <w:t>and so on</w:t>
            </w:r>
            <w:r w:rsidRPr="00875BD7">
              <w:rPr>
                <w:rFonts w:cs="Calibri Light"/>
              </w:rPr>
              <w:t>)</w:t>
            </w:r>
          </w:p>
        </w:tc>
        <w:tc>
          <w:tcPr>
            <w:tcW w:w="2403" w:type="dxa"/>
            <w:shd w:val="clear" w:color="auto" w:fill="F2F2F2" w:themeFill="background1" w:themeFillShade="F2"/>
          </w:tcPr>
          <w:p w14:paraId="08524CD3" w14:textId="513D6059" w:rsidR="00E6784E" w:rsidRPr="00B276E4" w:rsidRDefault="00E6784E" w:rsidP="0048664D">
            <w:pPr>
              <w:autoSpaceDE w:val="0"/>
              <w:autoSpaceDN w:val="0"/>
              <w:adjustRightInd w:val="0"/>
            </w:pPr>
          </w:p>
        </w:tc>
      </w:tr>
      <w:tr w:rsidR="00E6784E" w14:paraId="48875639" w14:textId="77777777" w:rsidTr="29579477">
        <w:trPr>
          <w:trHeight w:val="476"/>
        </w:trPr>
        <w:tc>
          <w:tcPr>
            <w:tcW w:w="5812" w:type="dxa"/>
            <w:shd w:val="clear" w:color="auto" w:fill="F2F2F2" w:themeFill="background1" w:themeFillShade="F2"/>
          </w:tcPr>
          <w:p w14:paraId="51FD53E4" w14:textId="2FF898A6" w:rsidR="00E6784E" w:rsidRPr="00B276E4" w:rsidRDefault="00EC4413" w:rsidP="00E6784E">
            <w:pPr>
              <w:autoSpaceDE w:val="0"/>
              <w:autoSpaceDN w:val="0"/>
              <w:adjustRightInd w:val="0"/>
            </w:pPr>
            <w:r w:rsidRPr="00875BD7">
              <w:rPr>
                <w:rFonts w:cs="Calibri Light"/>
              </w:rPr>
              <w:t>Tax Treatment (per Division 974</w:t>
            </w:r>
            <w:r w:rsidR="00EF388F">
              <w:rPr>
                <w:rFonts w:cs="Calibri Light"/>
              </w:rPr>
              <w:t xml:space="preserve"> </w:t>
            </w:r>
            <w:r w:rsidR="00EF388F" w:rsidRPr="5052A8DF">
              <w:rPr>
                <w:rFonts w:cs="Calibri Light"/>
                <w:i/>
                <w:iCs/>
              </w:rPr>
              <w:t>Income Tax Assessment Act</w:t>
            </w:r>
            <w:r w:rsidR="00EF388F" w:rsidRPr="5052A8DF">
              <w:rPr>
                <w:rFonts w:cs="Calibri Light"/>
              </w:rPr>
              <w:t xml:space="preserve"> </w:t>
            </w:r>
            <w:r w:rsidR="00EF388F" w:rsidRPr="5052A8DF">
              <w:rPr>
                <w:rFonts w:cs="Calibri Light"/>
                <w:i/>
                <w:iCs/>
              </w:rPr>
              <w:t>1997</w:t>
            </w:r>
            <w:r w:rsidR="00EF388F" w:rsidRPr="5052A8DF">
              <w:rPr>
                <w:rFonts w:cs="Calibri Light"/>
              </w:rPr>
              <w:t xml:space="preserve"> </w:t>
            </w:r>
            <w:r w:rsidR="00C87964">
              <w:rPr>
                <w:rFonts w:cs="Calibri Light"/>
              </w:rPr>
              <w:t>(</w:t>
            </w:r>
            <w:r w:rsidRPr="00875BD7">
              <w:rPr>
                <w:rFonts w:cs="Calibri Light"/>
              </w:rPr>
              <w:t>ITAA 1997</w:t>
            </w:r>
            <w:r w:rsidR="00C87964">
              <w:rPr>
                <w:rFonts w:cs="Calibri Light"/>
              </w:rPr>
              <w:t>)</w:t>
            </w:r>
            <w:r w:rsidRPr="00875BD7">
              <w:rPr>
                <w:rFonts w:cs="Calibri Light"/>
              </w:rPr>
              <w:t>)</w:t>
            </w:r>
          </w:p>
        </w:tc>
        <w:tc>
          <w:tcPr>
            <w:tcW w:w="2403" w:type="dxa"/>
            <w:shd w:val="clear" w:color="auto" w:fill="F2F2F2" w:themeFill="background1" w:themeFillShade="F2"/>
          </w:tcPr>
          <w:p w14:paraId="7E882884" w14:textId="3F795558" w:rsidR="00E6784E" w:rsidRPr="00B276E4" w:rsidRDefault="00E6784E" w:rsidP="0048664D">
            <w:pPr>
              <w:autoSpaceDE w:val="0"/>
              <w:autoSpaceDN w:val="0"/>
              <w:adjustRightInd w:val="0"/>
            </w:pPr>
          </w:p>
        </w:tc>
      </w:tr>
      <w:tr w:rsidR="00EC4413" w14:paraId="7AE599FF" w14:textId="77777777" w:rsidTr="29579477">
        <w:trPr>
          <w:trHeight w:val="476"/>
        </w:trPr>
        <w:tc>
          <w:tcPr>
            <w:tcW w:w="5812" w:type="dxa"/>
            <w:shd w:val="clear" w:color="auto" w:fill="F2F2F2" w:themeFill="background1" w:themeFillShade="F2"/>
          </w:tcPr>
          <w:p w14:paraId="2305345A" w14:textId="70512E3A" w:rsidR="00EC4413" w:rsidRPr="00875BD7" w:rsidRDefault="003404A4" w:rsidP="00E6784E">
            <w:pPr>
              <w:autoSpaceDE w:val="0"/>
              <w:autoSpaceDN w:val="0"/>
              <w:adjustRightInd w:val="0"/>
              <w:rPr>
                <w:rFonts w:cs="Calibri Light"/>
              </w:rPr>
            </w:pPr>
            <w:r w:rsidRPr="00875BD7">
              <w:rPr>
                <w:rFonts w:cs="Calibri Light"/>
              </w:rPr>
              <w:t>Tax Treatment for counterparty in foreign jurisdiction</w:t>
            </w:r>
          </w:p>
        </w:tc>
        <w:tc>
          <w:tcPr>
            <w:tcW w:w="2403" w:type="dxa"/>
            <w:shd w:val="clear" w:color="auto" w:fill="F2F2F2" w:themeFill="background1" w:themeFillShade="F2"/>
          </w:tcPr>
          <w:p w14:paraId="19B61F90" w14:textId="77777777" w:rsidR="00EC4413" w:rsidRPr="00B276E4" w:rsidRDefault="00EC4413" w:rsidP="0048664D">
            <w:pPr>
              <w:autoSpaceDE w:val="0"/>
              <w:autoSpaceDN w:val="0"/>
              <w:adjustRightInd w:val="0"/>
            </w:pPr>
          </w:p>
        </w:tc>
      </w:tr>
      <w:tr w:rsidR="00EC4413" w14:paraId="296A0B25" w14:textId="77777777" w:rsidTr="29579477">
        <w:trPr>
          <w:trHeight w:val="476"/>
        </w:trPr>
        <w:tc>
          <w:tcPr>
            <w:tcW w:w="5812" w:type="dxa"/>
            <w:shd w:val="clear" w:color="auto" w:fill="F2F2F2" w:themeFill="background1" w:themeFillShade="F2"/>
          </w:tcPr>
          <w:p w14:paraId="28F615AA" w14:textId="05DA6A3B" w:rsidR="00EC4413" w:rsidRPr="00875BD7" w:rsidRDefault="00BE5AAA" w:rsidP="00E6784E">
            <w:pPr>
              <w:autoSpaceDE w:val="0"/>
              <w:autoSpaceDN w:val="0"/>
              <w:adjustRightInd w:val="0"/>
              <w:rPr>
                <w:rFonts w:cs="Calibri Light"/>
              </w:rPr>
            </w:pPr>
            <w:r w:rsidRPr="00875BD7">
              <w:rPr>
                <w:rFonts w:cs="Calibri Light"/>
              </w:rPr>
              <w:t>Confirm whether treatment is different for income tax purposes and accounting purposes</w:t>
            </w:r>
          </w:p>
        </w:tc>
        <w:tc>
          <w:tcPr>
            <w:tcW w:w="2403" w:type="dxa"/>
            <w:shd w:val="clear" w:color="auto" w:fill="F2F2F2" w:themeFill="background1" w:themeFillShade="F2"/>
          </w:tcPr>
          <w:p w14:paraId="03A9F008" w14:textId="77777777" w:rsidR="00EC4413" w:rsidRPr="00B276E4" w:rsidRDefault="00EC4413" w:rsidP="0048664D">
            <w:pPr>
              <w:autoSpaceDE w:val="0"/>
              <w:autoSpaceDN w:val="0"/>
              <w:adjustRightInd w:val="0"/>
            </w:pPr>
          </w:p>
        </w:tc>
      </w:tr>
      <w:tr w:rsidR="00EC4413" w14:paraId="68B4DF8A" w14:textId="77777777" w:rsidTr="29579477">
        <w:trPr>
          <w:trHeight w:val="476"/>
        </w:trPr>
        <w:tc>
          <w:tcPr>
            <w:tcW w:w="5812" w:type="dxa"/>
            <w:shd w:val="clear" w:color="auto" w:fill="F2F2F2" w:themeFill="background1" w:themeFillShade="F2"/>
          </w:tcPr>
          <w:p w14:paraId="3453F4DD" w14:textId="44E714DD" w:rsidR="00EC4413" w:rsidRPr="00875BD7" w:rsidRDefault="00684713" w:rsidP="00684713">
            <w:pPr>
              <w:autoSpaceDE w:val="0"/>
              <w:autoSpaceDN w:val="0"/>
              <w:adjustRightInd w:val="0"/>
              <w:rPr>
                <w:rFonts w:cs="Calibri Light"/>
              </w:rPr>
            </w:pPr>
            <w:r w:rsidRPr="00875BD7">
              <w:rPr>
                <w:rFonts w:cs="Calibri Light"/>
              </w:rPr>
              <w:t>Borrower</w:t>
            </w:r>
          </w:p>
        </w:tc>
        <w:tc>
          <w:tcPr>
            <w:tcW w:w="2403" w:type="dxa"/>
            <w:shd w:val="clear" w:color="auto" w:fill="F2F2F2" w:themeFill="background1" w:themeFillShade="F2"/>
          </w:tcPr>
          <w:p w14:paraId="13E58F3D" w14:textId="77777777" w:rsidR="00EC4413" w:rsidRPr="00B276E4" w:rsidRDefault="00EC4413" w:rsidP="0048664D">
            <w:pPr>
              <w:autoSpaceDE w:val="0"/>
              <w:autoSpaceDN w:val="0"/>
              <w:adjustRightInd w:val="0"/>
            </w:pPr>
          </w:p>
        </w:tc>
      </w:tr>
      <w:tr w:rsidR="00EC4413" w14:paraId="549807B7" w14:textId="77777777" w:rsidTr="29579477">
        <w:trPr>
          <w:trHeight w:val="476"/>
        </w:trPr>
        <w:tc>
          <w:tcPr>
            <w:tcW w:w="5812" w:type="dxa"/>
            <w:shd w:val="clear" w:color="auto" w:fill="F2F2F2" w:themeFill="background1" w:themeFillShade="F2"/>
          </w:tcPr>
          <w:p w14:paraId="6DC0AF58" w14:textId="7880554C" w:rsidR="00EC4413" w:rsidRPr="00875BD7" w:rsidRDefault="003E61BA" w:rsidP="00E6784E">
            <w:pPr>
              <w:autoSpaceDE w:val="0"/>
              <w:autoSpaceDN w:val="0"/>
              <w:adjustRightInd w:val="0"/>
              <w:rPr>
                <w:rFonts w:cs="Calibri Light"/>
              </w:rPr>
            </w:pPr>
            <w:r w:rsidRPr="00875BD7">
              <w:rPr>
                <w:rFonts w:cs="Calibri Light"/>
              </w:rPr>
              <w:t>Tax residency of Borrower</w:t>
            </w:r>
          </w:p>
        </w:tc>
        <w:tc>
          <w:tcPr>
            <w:tcW w:w="2403" w:type="dxa"/>
            <w:shd w:val="clear" w:color="auto" w:fill="F2F2F2" w:themeFill="background1" w:themeFillShade="F2"/>
          </w:tcPr>
          <w:p w14:paraId="1413BF21" w14:textId="77777777" w:rsidR="00EC4413" w:rsidRPr="00B276E4" w:rsidRDefault="00EC4413" w:rsidP="0048664D">
            <w:pPr>
              <w:autoSpaceDE w:val="0"/>
              <w:autoSpaceDN w:val="0"/>
              <w:adjustRightInd w:val="0"/>
            </w:pPr>
          </w:p>
        </w:tc>
      </w:tr>
      <w:tr w:rsidR="00EC4413" w14:paraId="032BA793" w14:textId="77777777" w:rsidTr="29579477">
        <w:trPr>
          <w:trHeight w:val="476"/>
        </w:trPr>
        <w:tc>
          <w:tcPr>
            <w:tcW w:w="5812" w:type="dxa"/>
            <w:shd w:val="clear" w:color="auto" w:fill="F2F2F2" w:themeFill="background1" w:themeFillShade="F2"/>
          </w:tcPr>
          <w:p w14:paraId="60B136CE" w14:textId="6A478618" w:rsidR="00EC4413" w:rsidRPr="00875BD7" w:rsidRDefault="006E0126" w:rsidP="00E6784E">
            <w:pPr>
              <w:autoSpaceDE w:val="0"/>
              <w:autoSpaceDN w:val="0"/>
              <w:adjustRightInd w:val="0"/>
              <w:rPr>
                <w:rFonts w:cs="Calibri Light"/>
              </w:rPr>
            </w:pPr>
            <w:r w:rsidRPr="00875BD7">
              <w:rPr>
                <w:rFonts w:cs="Calibri Light"/>
              </w:rPr>
              <w:t>Lender (Clearly state if the Lender/s are a related party or not)</w:t>
            </w:r>
          </w:p>
        </w:tc>
        <w:tc>
          <w:tcPr>
            <w:tcW w:w="2403" w:type="dxa"/>
            <w:shd w:val="clear" w:color="auto" w:fill="F2F2F2" w:themeFill="background1" w:themeFillShade="F2"/>
          </w:tcPr>
          <w:p w14:paraId="099062D1" w14:textId="77777777" w:rsidR="00EC4413" w:rsidRPr="00B276E4" w:rsidRDefault="00EC4413" w:rsidP="0048664D">
            <w:pPr>
              <w:autoSpaceDE w:val="0"/>
              <w:autoSpaceDN w:val="0"/>
              <w:adjustRightInd w:val="0"/>
            </w:pPr>
          </w:p>
        </w:tc>
      </w:tr>
      <w:tr w:rsidR="006E0126" w14:paraId="0676C4C5" w14:textId="77777777" w:rsidTr="29579477">
        <w:trPr>
          <w:trHeight w:val="476"/>
        </w:trPr>
        <w:tc>
          <w:tcPr>
            <w:tcW w:w="5812" w:type="dxa"/>
            <w:shd w:val="clear" w:color="auto" w:fill="F2F2F2" w:themeFill="background1" w:themeFillShade="F2"/>
          </w:tcPr>
          <w:p w14:paraId="2E3E2F12" w14:textId="34308078" w:rsidR="006E0126" w:rsidRPr="00875BD7" w:rsidRDefault="006861CD" w:rsidP="00E6784E">
            <w:pPr>
              <w:autoSpaceDE w:val="0"/>
              <w:autoSpaceDN w:val="0"/>
              <w:adjustRightInd w:val="0"/>
              <w:rPr>
                <w:rFonts w:cs="Calibri Light"/>
              </w:rPr>
            </w:pPr>
            <w:r w:rsidRPr="00875BD7">
              <w:rPr>
                <w:rFonts w:cs="Calibri Light"/>
              </w:rPr>
              <w:t>Tax residency of Lender</w:t>
            </w:r>
          </w:p>
        </w:tc>
        <w:tc>
          <w:tcPr>
            <w:tcW w:w="2403" w:type="dxa"/>
            <w:shd w:val="clear" w:color="auto" w:fill="F2F2F2" w:themeFill="background1" w:themeFillShade="F2"/>
          </w:tcPr>
          <w:p w14:paraId="22A09B69" w14:textId="77777777" w:rsidR="006E0126" w:rsidRPr="00B276E4" w:rsidRDefault="006E0126" w:rsidP="0048664D">
            <w:pPr>
              <w:autoSpaceDE w:val="0"/>
              <w:autoSpaceDN w:val="0"/>
              <w:adjustRightInd w:val="0"/>
            </w:pPr>
          </w:p>
        </w:tc>
      </w:tr>
      <w:tr w:rsidR="00B26491" w14:paraId="2DF0EAEA" w14:textId="77777777" w:rsidTr="29579477">
        <w:trPr>
          <w:trHeight w:val="476"/>
        </w:trPr>
        <w:tc>
          <w:tcPr>
            <w:tcW w:w="5812" w:type="dxa"/>
            <w:shd w:val="clear" w:color="auto" w:fill="F2F2F2" w:themeFill="background1" w:themeFillShade="F2"/>
          </w:tcPr>
          <w:p w14:paraId="021131B2" w14:textId="1733D274" w:rsidR="00B26491" w:rsidRPr="00875BD7" w:rsidRDefault="00B26491" w:rsidP="00B26491">
            <w:pPr>
              <w:autoSpaceDE w:val="0"/>
              <w:autoSpaceDN w:val="0"/>
              <w:adjustRightInd w:val="0"/>
              <w:rPr>
                <w:rFonts w:cs="Calibri Light"/>
              </w:rPr>
            </w:pPr>
            <w:r w:rsidRPr="00875BD7">
              <w:rPr>
                <w:rFonts w:cs="Calibri Light"/>
              </w:rPr>
              <w:t xml:space="preserve">Amount </w:t>
            </w:r>
          </w:p>
        </w:tc>
        <w:tc>
          <w:tcPr>
            <w:tcW w:w="2403" w:type="dxa"/>
            <w:shd w:val="clear" w:color="auto" w:fill="F2F2F2" w:themeFill="background1" w:themeFillShade="F2"/>
          </w:tcPr>
          <w:p w14:paraId="68AC1D67" w14:textId="77777777" w:rsidR="00B26491" w:rsidRPr="00B276E4" w:rsidRDefault="00B26491" w:rsidP="00B26491">
            <w:pPr>
              <w:autoSpaceDE w:val="0"/>
              <w:autoSpaceDN w:val="0"/>
              <w:adjustRightInd w:val="0"/>
            </w:pPr>
          </w:p>
        </w:tc>
      </w:tr>
      <w:tr w:rsidR="00B26491" w14:paraId="234CAFA9" w14:textId="77777777" w:rsidTr="29579477">
        <w:trPr>
          <w:trHeight w:val="476"/>
        </w:trPr>
        <w:tc>
          <w:tcPr>
            <w:tcW w:w="5812" w:type="dxa"/>
            <w:shd w:val="clear" w:color="auto" w:fill="F2F2F2" w:themeFill="background1" w:themeFillShade="F2"/>
          </w:tcPr>
          <w:p w14:paraId="49EE5E8C" w14:textId="3A1D58B9" w:rsidR="00B26491" w:rsidRPr="00875BD7" w:rsidRDefault="00B26491" w:rsidP="00B26491">
            <w:pPr>
              <w:autoSpaceDE w:val="0"/>
              <w:autoSpaceDN w:val="0"/>
              <w:adjustRightInd w:val="0"/>
              <w:rPr>
                <w:rFonts w:cs="Calibri Light"/>
              </w:rPr>
            </w:pPr>
            <w:r w:rsidRPr="00875BD7">
              <w:rPr>
                <w:rFonts w:cs="Calibri Light"/>
              </w:rPr>
              <w:lastRenderedPageBreak/>
              <w:t>Tenor</w:t>
            </w:r>
          </w:p>
        </w:tc>
        <w:tc>
          <w:tcPr>
            <w:tcW w:w="2403" w:type="dxa"/>
            <w:shd w:val="clear" w:color="auto" w:fill="F2F2F2" w:themeFill="background1" w:themeFillShade="F2"/>
          </w:tcPr>
          <w:p w14:paraId="58ADEC3C" w14:textId="77777777" w:rsidR="00B26491" w:rsidRPr="00B276E4" w:rsidRDefault="00B26491" w:rsidP="00B26491">
            <w:pPr>
              <w:autoSpaceDE w:val="0"/>
              <w:autoSpaceDN w:val="0"/>
              <w:adjustRightInd w:val="0"/>
            </w:pPr>
          </w:p>
        </w:tc>
      </w:tr>
      <w:tr w:rsidR="00B26491" w14:paraId="3BAABF3D" w14:textId="77777777" w:rsidTr="29579477">
        <w:trPr>
          <w:trHeight w:val="476"/>
        </w:trPr>
        <w:tc>
          <w:tcPr>
            <w:tcW w:w="5812" w:type="dxa"/>
            <w:shd w:val="clear" w:color="auto" w:fill="F2F2F2" w:themeFill="background1" w:themeFillShade="F2"/>
          </w:tcPr>
          <w:p w14:paraId="6B64E7FF" w14:textId="1A784381" w:rsidR="00B26491" w:rsidRPr="00875BD7" w:rsidRDefault="00B26491" w:rsidP="00B26491">
            <w:pPr>
              <w:autoSpaceDE w:val="0"/>
              <w:autoSpaceDN w:val="0"/>
              <w:adjustRightInd w:val="0"/>
              <w:rPr>
                <w:rFonts w:cs="Calibri Light"/>
              </w:rPr>
            </w:pPr>
            <w:r w:rsidRPr="00875BD7">
              <w:rPr>
                <w:rFonts w:cs="Calibri Light"/>
              </w:rPr>
              <w:t>Ranking (</w:t>
            </w:r>
            <w:r w:rsidR="00EF11F4">
              <w:rPr>
                <w:rFonts w:cs="Calibri Light"/>
              </w:rPr>
              <w:t>that is,</w:t>
            </w:r>
            <w:r w:rsidRPr="00875BD7">
              <w:rPr>
                <w:rFonts w:cs="Calibri Light"/>
              </w:rPr>
              <w:t xml:space="preserve"> senior, subordinate, mezzanine)</w:t>
            </w:r>
          </w:p>
        </w:tc>
        <w:tc>
          <w:tcPr>
            <w:tcW w:w="2403" w:type="dxa"/>
            <w:shd w:val="clear" w:color="auto" w:fill="F2F2F2" w:themeFill="background1" w:themeFillShade="F2"/>
          </w:tcPr>
          <w:p w14:paraId="1925012C" w14:textId="77777777" w:rsidR="00B26491" w:rsidRPr="00B276E4" w:rsidRDefault="00B26491" w:rsidP="00B26491">
            <w:pPr>
              <w:autoSpaceDE w:val="0"/>
              <w:autoSpaceDN w:val="0"/>
              <w:adjustRightInd w:val="0"/>
            </w:pPr>
          </w:p>
        </w:tc>
      </w:tr>
      <w:tr w:rsidR="000B1C4C" w14:paraId="08D91E66" w14:textId="77777777" w:rsidTr="29579477">
        <w:trPr>
          <w:trHeight w:val="476"/>
        </w:trPr>
        <w:tc>
          <w:tcPr>
            <w:tcW w:w="5812" w:type="dxa"/>
            <w:shd w:val="clear" w:color="auto" w:fill="F2F2F2" w:themeFill="background1" w:themeFillShade="F2"/>
          </w:tcPr>
          <w:p w14:paraId="78C407AE" w14:textId="61726906" w:rsidR="000B1C4C" w:rsidRPr="00875BD7" w:rsidRDefault="000B1C4C" w:rsidP="000B1C4C">
            <w:pPr>
              <w:autoSpaceDE w:val="0"/>
              <w:autoSpaceDN w:val="0"/>
              <w:adjustRightInd w:val="0"/>
              <w:rPr>
                <w:rFonts w:cs="Calibri Light"/>
              </w:rPr>
            </w:pPr>
            <w:r w:rsidRPr="00875BD7">
              <w:rPr>
                <w:rFonts w:cs="Calibri Light"/>
              </w:rPr>
              <w:t>Currency</w:t>
            </w:r>
          </w:p>
        </w:tc>
        <w:tc>
          <w:tcPr>
            <w:tcW w:w="2403" w:type="dxa"/>
            <w:shd w:val="clear" w:color="auto" w:fill="F2F2F2" w:themeFill="background1" w:themeFillShade="F2"/>
          </w:tcPr>
          <w:p w14:paraId="13679C05" w14:textId="77777777" w:rsidR="000B1C4C" w:rsidRPr="00B276E4" w:rsidRDefault="000B1C4C" w:rsidP="000B1C4C">
            <w:pPr>
              <w:autoSpaceDE w:val="0"/>
              <w:autoSpaceDN w:val="0"/>
              <w:adjustRightInd w:val="0"/>
            </w:pPr>
          </w:p>
        </w:tc>
      </w:tr>
      <w:tr w:rsidR="000B1C4C" w14:paraId="25EB1EA5" w14:textId="77777777" w:rsidTr="29579477">
        <w:trPr>
          <w:trHeight w:val="476"/>
        </w:trPr>
        <w:tc>
          <w:tcPr>
            <w:tcW w:w="5812" w:type="dxa"/>
            <w:shd w:val="clear" w:color="auto" w:fill="F2F2F2" w:themeFill="background1" w:themeFillShade="F2"/>
          </w:tcPr>
          <w:p w14:paraId="763A2661" w14:textId="7D33E7CA" w:rsidR="000B1C4C" w:rsidRPr="00875BD7" w:rsidRDefault="000B1C4C" w:rsidP="000B1C4C">
            <w:pPr>
              <w:autoSpaceDE w:val="0"/>
              <w:autoSpaceDN w:val="0"/>
              <w:adjustRightInd w:val="0"/>
              <w:rPr>
                <w:rFonts w:cs="Calibri Light"/>
              </w:rPr>
            </w:pPr>
            <w:r w:rsidRPr="00875BD7">
              <w:rPr>
                <w:rFonts w:cs="Calibri Light"/>
              </w:rPr>
              <w:t xml:space="preserve">Interest rate (if currency is not AUD, also equivalent AUD rate) </w:t>
            </w:r>
          </w:p>
        </w:tc>
        <w:tc>
          <w:tcPr>
            <w:tcW w:w="2403" w:type="dxa"/>
            <w:shd w:val="clear" w:color="auto" w:fill="F2F2F2" w:themeFill="background1" w:themeFillShade="F2"/>
          </w:tcPr>
          <w:p w14:paraId="2FDF55CB" w14:textId="77777777" w:rsidR="000B1C4C" w:rsidRPr="00B276E4" w:rsidRDefault="000B1C4C" w:rsidP="000B1C4C">
            <w:pPr>
              <w:autoSpaceDE w:val="0"/>
              <w:autoSpaceDN w:val="0"/>
              <w:adjustRightInd w:val="0"/>
            </w:pPr>
          </w:p>
        </w:tc>
      </w:tr>
      <w:tr w:rsidR="000B1C4C" w14:paraId="4C534907" w14:textId="77777777" w:rsidTr="29579477">
        <w:trPr>
          <w:trHeight w:val="476"/>
        </w:trPr>
        <w:tc>
          <w:tcPr>
            <w:tcW w:w="5812" w:type="dxa"/>
            <w:shd w:val="clear" w:color="auto" w:fill="F2F2F2" w:themeFill="background1" w:themeFillShade="F2"/>
          </w:tcPr>
          <w:p w14:paraId="57BD2DD7" w14:textId="4B501DB4" w:rsidR="000B1C4C" w:rsidRPr="00875BD7" w:rsidRDefault="000B1C4C" w:rsidP="000B1C4C">
            <w:pPr>
              <w:autoSpaceDE w:val="0"/>
              <w:autoSpaceDN w:val="0"/>
              <w:adjustRightInd w:val="0"/>
              <w:rPr>
                <w:rFonts w:cs="Calibri Light"/>
              </w:rPr>
            </w:pPr>
            <w:r w:rsidRPr="00875BD7">
              <w:rPr>
                <w:rFonts w:cs="Calibri Light"/>
              </w:rPr>
              <w:t>Credit rating of the Borrower</w:t>
            </w:r>
          </w:p>
        </w:tc>
        <w:tc>
          <w:tcPr>
            <w:tcW w:w="2403" w:type="dxa"/>
            <w:shd w:val="clear" w:color="auto" w:fill="F2F2F2" w:themeFill="background1" w:themeFillShade="F2"/>
          </w:tcPr>
          <w:p w14:paraId="0F946E2C" w14:textId="77777777" w:rsidR="000B1C4C" w:rsidRPr="00B276E4" w:rsidRDefault="000B1C4C" w:rsidP="000B1C4C">
            <w:pPr>
              <w:autoSpaceDE w:val="0"/>
              <w:autoSpaceDN w:val="0"/>
              <w:adjustRightInd w:val="0"/>
            </w:pPr>
          </w:p>
        </w:tc>
      </w:tr>
      <w:tr w:rsidR="000B1C4C" w14:paraId="0CFAFC04" w14:textId="77777777" w:rsidTr="29579477">
        <w:trPr>
          <w:trHeight w:val="476"/>
        </w:trPr>
        <w:tc>
          <w:tcPr>
            <w:tcW w:w="5812" w:type="dxa"/>
            <w:shd w:val="clear" w:color="auto" w:fill="F2F2F2" w:themeFill="background1" w:themeFillShade="F2"/>
          </w:tcPr>
          <w:p w14:paraId="0465A2F0" w14:textId="12B9C9BC" w:rsidR="000B1C4C" w:rsidRPr="00875BD7" w:rsidRDefault="000B1C4C" w:rsidP="000B1C4C">
            <w:pPr>
              <w:autoSpaceDE w:val="0"/>
              <w:autoSpaceDN w:val="0"/>
              <w:adjustRightInd w:val="0"/>
              <w:rPr>
                <w:rFonts w:cs="Calibri Light"/>
              </w:rPr>
            </w:pPr>
            <w:r w:rsidRPr="00875BD7">
              <w:rPr>
                <w:rFonts w:cs="Calibri Light"/>
              </w:rPr>
              <w:t xml:space="preserve">Other features (security, restrictive covenants, guarantees, guarantee fee, contingencies, payment in kind, convertibility, options, </w:t>
            </w:r>
            <w:r w:rsidR="000D141B">
              <w:rPr>
                <w:rFonts w:cs="Calibri Light"/>
              </w:rPr>
              <w:t>and so on</w:t>
            </w:r>
            <w:r w:rsidRPr="00875BD7">
              <w:rPr>
                <w:rFonts w:cs="Calibri Light"/>
              </w:rPr>
              <w:t>)</w:t>
            </w:r>
          </w:p>
        </w:tc>
        <w:tc>
          <w:tcPr>
            <w:tcW w:w="2403" w:type="dxa"/>
            <w:shd w:val="clear" w:color="auto" w:fill="F2F2F2" w:themeFill="background1" w:themeFillShade="F2"/>
          </w:tcPr>
          <w:p w14:paraId="4A28741B" w14:textId="77777777" w:rsidR="000B1C4C" w:rsidRPr="00B276E4" w:rsidRDefault="000B1C4C" w:rsidP="000B1C4C">
            <w:pPr>
              <w:autoSpaceDE w:val="0"/>
              <w:autoSpaceDN w:val="0"/>
              <w:adjustRightInd w:val="0"/>
            </w:pPr>
          </w:p>
        </w:tc>
      </w:tr>
    </w:tbl>
    <w:p w14:paraId="5D6425A7" w14:textId="25581C5F" w:rsidR="00203FB5" w:rsidRDefault="00A1206B" w:rsidP="00B80D4B">
      <w:pPr>
        <w:pStyle w:val="ListParagraph"/>
        <w:numPr>
          <w:ilvl w:val="0"/>
          <w:numId w:val="11"/>
        </w:numPr>
        <w:spacing w:afterLines="60" w:after="144"/>
        <w:rPr>
          <w:rFonts w:cs="Calibri Light"/>
        </w:rPr>
      </w:pPr>
      <w:r>
        <w:rPr>
          <w:rFonts w:cs="Calibri Light"/>
        </w:rPr>
        <w:t xml:space="preserve">For any related party debt disclosed at question 4, </w:t>
      </w:r>
      <w:proofErr w:type="gramStart"/>
      <w:r>
        <w:rPr>
          <w:rFonts w:cs="Calibri Light"/>
        </w:rPr>
        <w:t>whether or not</w:t>
      </w:r>
      <w:proofErr w:type="gramEnd"/>
      <w:r>
        <w:rPr>
          <w:rFonts w:cs="Calibri Light"/>
        </w:rPr>
        <w:t xml:space="preserve"> cross-border, having regard to Schedule 1 of the </w:t>
      </w:r>
      <w:r>
        <w:rPr>
          <w:rFonts w:cs="Calibri Light"/>
          <w:i/>
          <w:iCs/>
        </w:rPr>
        <w:t xml:space="preserve">Practical Compliance Guideline 2017/4 </w:t>
      </w:r>
      <w:r w:rsidR="005A646A">
        <w:rPr>
          <w:rFonts w:cs="Calibri Light"/>
        </w:rPr>
        <w:t>(P</w:t>
      </w:r>
      <w:r w:rsidR="00407777">
        <w:rPr>
          <w:rFonts w:cs="Calibri Light"/>
        </w:rPr>
        <w:t>CG 2017/4), advise for each:</w:t>
      </w:r>
    </w:p>
    <w:p w14:paraId="0967F30D" w14:textId="3E8BD9C5" w:rsidR="00407777" w:rsidRDefault="00124114" w:rsidP="00407777">
      <w:pPr>
        <w:pStyle w:val="ListParagraph"/>
        <w:numPr>
          <w:ilvl w:val="0"/>
          <w:numId w:val="12"/>
        </w:numPr>
        <w:spacing w:afterLines="60" w:after="144"/>
        <w:rPr>
          <w:rFonts w:cs="Calibri Light"/>
        </w:rPr>
      </w:pPr>
      <w:r>
        <w:rPr>
          <w:rFonts w:cs="Calibri Light"/>
        </w:rPr>
        <w:t>t</w:t>
      </w:r>
      <w:r w:rsidR="00407777">
        <w:rPr>
          <w:rFonts w:cs="Calibri Light"/>
        </w:rPr>
        <w:t xml:space="preserve">he risk </w:t>
      </w:r>
      <w:proofErr w:type="gramStart"/>
      <w:r w:rsidR="00407777">
        <w:rPr>
          <w:rFonts w:cs="Calibri Light"/>
        </w:rPr>
        <w:t>rating</w:t>
      </w:r>
      <w:proofErr w:type="gramEnd"/>
    </w:p>
    <w:p w14:paraId="28CA319A" w14:textId="4BB1CE02" w:rsidR="00407777" w:rsidRDefault="00124114" w:rsidP="00407777">
      <w:pPr>
        <w:pStyle w:val="ListParagraph"/>
        <w:numPr>
          <w:ilvl w:val="0"/>
          <w:numId w:val="12"/>
        </w:numPr>
        <w:spacing w:afterLines="60" w:after="144"/>
        <w:rPr>
          <w:rFonts w:cs="Calibri Light"/>
        </w:rPr>
      </w:pPr>
      <w:r>
        <w:rPr>
          <w:rFonts w:cs="Calibri Light"/>
        </w:rPr>
        <w:t>h</w:t>
      </w:r>
      <w:r w:rsidR="001E119E">
        <w:rPr>
          <w:rFonts w:cs="Calibri Light"/>
        </w:rPr>
        <w:t>ow each price and behavioural indicator was scored</w:t>
      </w:r>
      <w:r w:rsidR="00A80389">
        <w:rPr>
          <w:rFonts w:cs="Calibri Light"/>
        </w:rPr>
        <w:t>,</w:t>
      </w:r>
      <w:r w:rsidR="00A55BF0">
        <w:rPr>
          <w:rFonts w:cs="Calibri Light"/>
        </w:rPr>
        <w:t xml:space="preserve"> and</w:t>
      </w:r>
    </w:p>
    <w:p w14:paraId="7BD7DAC1" w14:textId="27504D52" w:rsidR="001E119E" w:rsidRDefault="00124114" w:rsidP="00407777">
      <w:pPr>
        <w:pStyle w:val="ListParagraph"/>
        <w:numPr>
          <w:ilvl w:val="0"/>
          <w:numId w:val="12"/>
        </w:numPr>
        <w:spacing w:afterLines="60" w:after="144"/>
        <w:rPr>
          <w:rFonts w:cs="Calibri Light"/>
        </w:rPr>
      </w:pPr>
      <w:r>
        <w:rPr>
          <w:rFonts w:cs="Calibri Light"/>
        </w:rPr>
        <w:t>w</w:t>
      </w:r>
      <w:r w:rsidR="00454DA6">
        <w:rPr>
          <w:rFonts w:cs="Calibri Light"/>
        </w:rPr>
        <w:t>hich of the comparison options at paragraph 61 of Schedule 1 of PCG 2017/4 was used and the</w:t>
      </w:r>
      <w:r w:rsidR="004F085E">
        <w:rPr>
          <w:rFonts w:cs="Calibri Light"/>
        </w:rPr>
        <w:t xml:space="preserve"> key terms of the debt (as set out in the table at question 4)</w:t>
      </w:r>
      <w:r w:rsidR="00A80389">
        <w:rPr>
          <w:rFonts w:cs="Calibri Light"/>
        </w:rPr>
        <w:t>.</w:t>
      </w:r>
    </w:p>
    <w:p w14:paraId="3571DADF" w14:textId="77777777" w:rsidR="001759A4" w:rsidRPr="00875BD7" w:rsidRDefault="001759A4" w:rsidP="001759A4">
      <w:pPr>
        <w:keepLines/>
        <w:numPr>
          <w:ilvl w:val="0"/>
          <w:numId w:val="11"/>
        </w:numPr>
        <w:spacing w:after="0" w:line="276" w:lineRule="auto"/>
        <w:ind w:left="357" w:right="-57" w:hanging="357"/>
        <w:outlineLvl w:val="1"/>
        <w:rPr>
          <w:rFonts w:cs="Calibri Light"/>
          <w:szCs w:val="22"/>
        </w:rPr>
      </w:pPr>
      <w:r w:rsidRPr="00875BD7">
        <w:rPr>
          <w:rFonts w:cs="Calibri Light"/>
          <w:szCs w:val="22"/>
        </w:rPr>
        <w:t>Advise if any part of your Transaction has features or an arrangement covered by one or more of the following Taxpayer Alerts:</w:t>
      </w:r>
    </w:p>
    <w:p w14:paraId="288941F7" w14:textId="100454AA" w:rsidR="001C2C95" w:rsidRPr="001C2C95" w:rsidRDefault="001C2C95" w:rsidP="001C2C95">
      <w:pPr>
        <w:pStyle w:val="ListParagraph"/>
        <w:numPr>
          <w:ilvl w:val="0"/>
          <w:numId w:val="12"/>
        </w:numPr>
        <w:spacing w:afterLines="60" w:after="144"/>
        <w:rPr>
          <w:rFonts w:cs="Calibri Light"/>
        </w:rPr>
      </w:pPr>
      <w:r w:rsidRPr="0055704A">
        <w:rPr>
          <w:rFonts w:cs="Calibri Light"/>
          <w:b/>
          <w:bCs/>
        </w:rPr>
        <w:t>TA 2020/4</w:t>
      </w:r>
      <w:r w:rsidRPr="001C2C95">
        <w:rPr>
          <w:rFonts w:cs="Calibri Light"/>
        </w:rPr>
        <w:t xml:space="preserve"> – Multiple entry consolidated groups avoiding capital gains tax through the transfer of assets to an eligible tier-1 company prior to </w:t>
      </w:r>
      <w:proofErr w:type="gramStart"/>
      <w:r w:rsidRPr="001C2C95">
        <w:rPr>
          <w:rFonts w:cs="Calibri Light"/>
        </w:rPr>
        <w:t>divestment</w:t>
      </w:r>
      <w:proofErr w:type="gramEnd"/>
    </w:p>
    <w:p w14:paraId="08735FE0" w14:textId="2D36427A" w:rsidR="001C2C95" w:rsidRPr="001C2C95" w:rsidRDefault="001C2C95" w:rsidP="001C2C95">
      <w:pPr>
        <w:pStyle w:val="ListParagraph"/>
        <w:numPr>
          <w:ilvl w:val="0"/>
          <w:numId w:val="12"/>
        </w:numPr>
        <w:spacing w:afterLines="60" w:after="144"/>
        <w:rPr>
          <w:rFonts w:cs="Calibri Light"/>
        </w:rPr>
      </w:pPr>
      <w:r w:rsidRPr="0055704A">
        <w:rPr>
          <w:rFonts w:cs="Calibri Light"/>
          <w:b/>
          <w:bCs/>
        </w:rPr>
        <w:t>TA 2020/3</w:t>
      </w:r>
      <w:r w:rsidRPr="001C2C95">
        <w:rPr>
          <w:rFonts w:cs="Calibri Light"/>
        </w:rPr>
        <w:t xml:space="preserve"> – Arrangements involving interposed offshore entities to avoid interest withholding </w:t>
      </w:r>
      <w:proofErr w:type="gramStart"/>
      <w:r w:rsidRPr="001C2C95">
        <w:rPr>
          <w:rFonts w:cs="Calibri Light"/>
        </w:rPr>
        <w:t>tax</w:t>
      </w:r>
      <w:proofErr w:type="gramEnd"/>
    </w:p>
    <w:p w14:paraId="0731E5E0" w14:textId="3A41FAC5" w:rsidR="001C2C95" w:rsidRPr="001C2C95" w:rsidRDefault="001C2C95" w:rsidP="001C2C95">
      <w:pPr>
        <w:pStyle w:val="ListParagraph"/>
        <w:numPr>
          <w:ilvl w:val="0"/>
          <w:numId w:val="12"/>
        </w:numPr>
        <w:spacing w:afterLines="60" w:after="144"/>
        <w:rPr>
          <w:rFonts w:cs="Calibri Light"/>
        </w:rPr>
      </w:pPr>
      <w:r w:rsidRPr="0055704A">
        <w:rPr>
          <w:rFonts w:cs="Calibri Light"/>
          <w:b/>
          <w:bCs/>
        </w:rPr>
        <w:t>TA 2020/2</w:t>
      </w:r>
      <w:r w:rsidRPr="001C2C95">
        <w:rPr>
          <w:rFonts w:cs="Calibri Light"/>
        </w:rPr>
        <w:t xml:space="preserve"> – Mischaracterised arrangements and schemes connected with foreign investment into Australian </w:t>
      </w:r>
      <w:proofErr w:type="gramStart"/>
      <w:r w:rsidRPr="001C2C95">
        <w:rPr>
          <w:rFonts w:cs="Calibri Light"/>
        </w:rPr>
        <w:t>entities</w:t>
      </w:r>
      <w:proofErr w:type="gramEnd"/>
    </w:p>
    <w:p w14:paraId="2FCDC3D1" w14:textId="3937C188" w:rsidR="001C2C95" w:rsidRPr="001C2C95" w:rsidRDefault="001C2C95" w:rsidP="001C2C95">
      <w:pPr>
        <w:pStyle w:val="ListParagraph"/>
        <w:numPr>
          <w:ilvl w:val="0"/>
          <w:numId w:val="12"/>
        </w:numPr>
        <w:spacing w:afterLines="60" w:after="144"/>
        <w:rPr>
          <w:rFonts w:cs="Calibri Light"/>
        </w:rPr>
      </w:pPr>
      <w:r w:rsidRPr="0055704A">
        <w:rPr>
          <w:rFonts w:cs="Calibri Light"/>
          <w:b/>
          <w:bCs/>
        </w:rPr>
        <w:t>TA 2020/1</w:t>
      </w:r>
      <w:r w:rsidRPr="001C2C95">
        <w:rPr>
          <w:rFonts w:cs="Calibri Light"/>
        </w:rPr>
        <w:t xml:space="preserve"> – Non-arm’s length arrangements and schemes connected with development, enhancement, maintenance, protection and exploitation of intangible </w:t>
      </w:r>
      <w:proofErr w:type="gramStart"/>
      <w:r w:rsidRPr="001C2C95">
        <w:rPr>
          <w:rFonts w:cs="Calibri Light"/>
        </w:rPr>
        <w:t>assets</w:t>
      </w:r>
      <w:proofErr w:type="gramEnd"/>
    </w:p>
    <w:p w14:paraId="76B56F87" w14:textId="159F4811" w:rsidR="001C2C95" w:rsidRPr="001C2C95" w:rsidRDefault="001C2C95" w:rsidP="001C2C95">
      <w:pPr>
        <w:pStyle w:val="ListParagraph"/>
        <w:numPr>
          <w:ilvl w:val="0"/>
          <w:numId w:val="12"/>
        </w:numPr>
        <w:spacing w:afterLines="60" w:after="144"/>
        <w:rPr>
          <w:rFonts w:cs="Calibri Light"/>
        </w:rPr>
      </w:pPr>
      <w:r w:rsidRPr="0055704A">
        <w:rPr>
          <w:rFonts w:cs="Calibri Light"/>
          <w:b/>
          <w:bCs/>
        </w:rPr>
        <w:t>TA 2019/2</w:t>
      </w:r>
      <w:r w:rsidRPr="001C2C95">
        <w:rPr>
          <w:rFonts w:cs="Calibri Light"/>
        </w:rPr>
        <w:t xml:space="preserve"> – Trusts avoiding CGT by exploiting restructure </w:t>
      </w:r>
      <w:proofErr w:type="gramStart"/>
      <w:r w:rsidRPr="001C2C95">
        <w:rPr>
          <w:rFonts w:cs="Calibri Light"/>
        </w:rPr>
        <w:t>rollover</w:t>
      </w:r>
      <w:proofErr w:type="gramEnd"/>
    </w:p>
    <w:p w14:paraId="5C7D2234" w14:textId="3915297A" w:rsidR="001C2C95" w:rsidRPr="001C2C95" w:rsidRDefault="001C2C95" w:rsidP="001C2C95">
      <w:pPr>
        <w:pStyle w:val="ListParagraph"/>
        <w:numPr>
          <w:ilvl w:val="0"/>
          <w:numId w:val="12"/>
        </w:numPr>
        <w:spacing w:afterLines="60" w:after="144"/>
        <w:rPr>
          <w:rFonts w:cs="Calibri Light"/>
        </w:rPr>
      </w:pPr>
      <w:r w:rsidRPr="0055704A">
        <w:rPr>
          <w:rFonts w:cs="Calibri Light"/>
          <w:b/>
          <w:bCs/>
        </w:rPr>
        <w:t>TA 2019/1</w:t>
      </w:r>
      <w:r w:rsidRPr="001C2C95">
        <w:rPr>
          <w:rFonts w:cs="Calibri Light"/>
        </w:rPr>
        <w:t xml:space="preserve"> – Multiple entry consolidated (MEC) groups avoiding CGT through intra-group </w:t>
      </w:r>
      <w:proofErr w:type="gramStart"/>
      <w:r w:rsidRPr="001C2C95">
        <w:rPr>
          <w:rFonts w:cs="Calibri Light"/>
        </w:rPr>
        <w:t>debt</w:t>
      </w:r>
      <w:proofErr w:type="gramEnd"/>
    </w:p>
    <w:p w14:paraId="610975B7" w14:textId="4F2665D2" w:rsidR="001C2C95" w:rsidRPr="001C2C95" w:rsidRDefault="001C2C95" w:rsidP="001C2C95">
      <w:pPr>
        <w:pStyle w:val="ListParagraph"/>
        <w:numPr>
          <w:ilvl w:val="0"/>
          <w:numId w:val="12"/>
        </w:numPr>
        <w:spacing w:afterLines="60" w:after="144"/>
        <w:rPr>
          <w:rFonts w:cs="Calibri Light"/>
        </w:rPr>
      </w:pPr>
      <w:r w:rsidRPr="0055704A">
        <w:rPr>
          <w:rFonts w:cs="Calibri Light"/>
          <w:b/>
          <w:bCs/>
        </w:rPr>
        <w:t>TA 2018/4</w:t>
      </w:r>
      <w:r w:rsidRPr="001C2C95">
        <w:rPr>
          <w:rFonts w:cs="Calibri Light"/>
        </w:rPr>
        <w:t xml:space="preserve"> – Accrual deductions and deferral or avoidance of withholding </w:t>
      </w:r>
      <w:proofErr w:type="gramStart"/>
      <w:r w:rsidRPr="001C2C95">
        <w:rPr>
          <w:rFonts w:cs="Calibri Light"/>
        </w:rPr>
        <w:t>tax</w:t>
      </w:r>
      <w:proofErr w:type="gramEnd"/>
    </w:p>
    <w:p w14:paraId="6C6D699E" w14:textId="6F58FE32" w:rsidR="001C2C95" w:rsidRPr="001C2C95" w:rsidRDefault="001C2C95" w:rsidP="001C2C95">
      <w:pPr>
        <w:pStyle w:val="ListParagraph"/>
        <w:numPr>
          <w:ilvl w:val="0"/>
          <w:numId w:val="12"/>
        </w:numPr>
        <w:spacing w:afterLines="60" w:after="144"/>
        <w:rPr>
          <w:rFonts w:cs="Calibri Light"/>
        </w:rPr>
      </w:pPr>
      <w:r w:rsidRPr="0055704A">
        <w:rPr>
          <w:rFonts w:cs="Calibri Light"/>
          <w:b/>
          <w:bCs/>
        </w:rPr>
        <w:t>TA 2018/2</w:t>
      </w:r>
      <w:r w:rsidRPr="001C2C95">
        <w:rPr>
          <w:rFonts w:cs="Calibri Light"/>
        </w:rPr>
        <w:t xml:space="preserve"> – Mischaracterisation of activities or payments in connection with intangible assets</w:t>
      </w:r>
    </w:p>
    <w:p w14:paraId="28C20D6C" w14:textId="1B164A1D" w:rsidR="001C2C95" w:rsidRPr="001C2C95" w:rsidRDefault="001C2C95" w:rsidP="001C2C95">
      <w:pPr>
        <w:pStyle w:val="ListParagraph"/>
        <w:numPr>
          <w:ilvl w:val="0"/>
          <w:numId w:val="12"/>
        </w:numPr>
        <w:spacing w:afterLines="60" w:after="144"/>
        <w:rPr>
          <w:rFonts w:cs="Calibri Light"/>
        </w:rPr>
      </w:pPr>
      <w:r w:rsidRPr="0055704A">
        <w:rPr>
          <w:rFonts w:cs="Calibri Light"/>
          <w:b/>
          <w:bCs/>
        </w:rPr>
        <w:t>TA 2017/1</w:t>
      </w:r>
      <w:r w:rsidRPr="001C2C95">
        <w:rPr>
          <w:rFonts w:cs="Calibri Light"/>
        </w:rPr>
        <w:t xml:space="preserve"> – Re-characterisation of income from trading businesses</w:t>
      </w:r>
    </w:p>
    <w:p w14:paraId="3615FC0E" w14:textId="112841F4" w:rsidR="001C2C95" w:rsidRPr="001C2C95" w:rsidRDefault="001C2C95" w:rsidP="001C2C95">
      <w:pPr>
        <w:pStyle w:val="ListParagraph"/>
        <w:numPr>
          <w:ilvl w:val="0"/>
          <w:numId w:val="12"/>
        </w:numPr>
        <w:spacing w:afterLines="60" w:after="144"/>
        <w:rPr>
          <w:rFonts w:cs="Calibri Light"/>
        </w:rPr>
      </w:pPr>
      <w:r w:rsidRPr="0055704A">
        <w:rPr>
          <w:rFonts w:cs="Calibri Light"/>
          <w:b/>
          <w:bCs/>
        </w:rPr>
        <w:t>TA 2016/10</w:t>
      </w:r>
      <w:r w:rsidRPr="001C2C95">
        <w:rPr>
          <w:rFonts w:cs="Calibri Light"/>
        </w:rPr>
        <w:t xml:space="preserve"> – Cross - Border Round Robin Financing Arrangements</w:t>
      </w:r>
    </w:p>
    <w:p w14:paraId="5E4376FC" w14:textId="572A0C07" w:rsidR="001C2C95" w:rsidRPr="001C2C95" w:rsidRDefault="001C2C95" w:rsidP="001C2C95">
      <w:pPr>
        <w:pStyle w:val="ListParagraph"/>
        <w:numPr>
          <w:ilvl w:val="0"/>
          <w:numId w:val="12"/>
        </w:numPr>
        <w:spacing w:afterLines="60" w:after="144"/>
        <w:rPr>
          <w:rFonts w:cs="Calibri Light"/>
        </w:rPr>
      </w:pPr>
      <w:r w:rsidRPr="0055704A">
        <w:rPr>
          <w:rFonts w:cs="Calibri Light"/>
          <w:b/>
          <w:bCs/>
        </w:rPr>
        <w:t>TA 2016/7</w:t>
      </w:r>
      <w:r w:rsidRPr="001C2C95">
        <w:rPr>
          <w:rFonts w:cs="Calibri Light"/>
        </w:rPr>
        <w:t xml:space="preserve"> – Arrangements involving offshore permanent establishments</w:t>
      </w:r>
      <w:r w:rsidR="00A80389">
        <w:rPr>
          <w:rFonts w:cs="Calibri Light"/>
        </w:rPr>
        <w:t>,</w:t>
      </w:r>
      <w:r w:rsidR="00A55BF0">
        <w:rPr>
          <w:rFonts w:cs="Calibri Light"/>
        </w:rPr>
        <w:t xml:space="preserve"> and</w:t>
      </w:r>
    </w:p>
    <w:p w14:paraId="5D387BE9" w14:textId="77777777" w:rsidR="001C2C95" w:rsidRDefault="001C2C95" w:rsidP="001C2C95">
      <w:pPr>
        <w:pStyle w:val="ListParagraph"/>
        <w:numPr>
          <w:ilvl w:val="0"/>
          <w:numId w:val="12"/>
        </w:numPr>
        <w:spacing w:afterLines="60" w:after="144"/>
        <w:rPr>
          <w:rFonts w:cs="Calibri Light"/>
        </w:rPr>
      </w:pPr>
      <w:r w:rsidRPr="0055704A">
        <w:rPr>
          <w:rFonts w:cs="Calibri Light"/>
          <w:b/>
          <w:bCs/>
        </w:rPr>
        <w:t>TA 2016/3</w:t>
      </w:r>
      <w:r w:rsidRPr="001C2C95">
        <w:rPr>
          <w:rFonts w:cs="Calibri Light"/>
        </w:rPr>
        <w:t xml:space="preserve"> – Arrangements involving related party foreign currency denominated finance with related party cross currency interest rate swaps.</w:t>
      </w:r>
    </w:p>
    <w:p w14:paraId="7891ECBE" w14:textId="78020A05" w:rsidR="00E84F30" w:rsidRDefault="00E84F30" w:rsidP="00B80D4B">
      <w:pPr>
        <w:keepLines/>
        <w:numPr>
          <w:ilvl w:val="0"/>
          <w:numId w:val="11"/>
        </w:numPr>
        <w:spacing w:after="0" w:line="276" w:lineRule="auto"/>
        <w:outlineLvl w:val="1"/>
        <w:rPr>
          <w:rFonts w:cs="Calibri Light"/>
          <w:bCs/>
          <w:iCs/>
          <w:szCs w:val="22"/>
        </w:rPr>
      </w:pPr>
      <w:r w:rsidRPr="00B80D4B">
        <w:rPr>
          <w:rFonts w:cs="Calibri Light"/>
          <w:bCs/>
          <w:iCs/>
          <w:szCs w:val="22"/>
        </w:rPr>
        <w:t>Provide for each distribution expected to be made by an Australian entity to an offshore recipient after the Transaction’s completion:</w:t>
      </w:r>
    </w:p>
    <w:p w14:paraId="51796C2D" w14:textId="481B8457" w:rsidR="008C574A" w:rsidRPr="008C574A" w:rsidRDefault="00124114" w:rsidP="008C574A">
      <w:pPr>
        <w:pStyle w:val="ListParagraph"/>
        <w:numPr>
          <w:ilvl w:val="0"/>
          <w:numId w:val="12"/>
        </w:numPr>
        <w:spacing w:afterLines="60" w:after="144"/>
        <w:rPr>
          <w:rFonts w:cs="Calibri Light"/>
        </w:rPr>
      </w:pPr>
      <w:r>
        <w:rPr>
          <w:rFonts w:cs="Calibri Light"/>
        </w:rPr>
        <w:t>t</w:t>
      </w:r>
      <w:r w:rsidR="008C574A" w:rsidRPr="008C574A">
        <w:rPr>
          <w:rFonts w:cs="Calibri Light"/>
        </w:rPr>
        <w:t xml:space="preserve">he tax treatment of the payment for the Australian entity making the </w:t>
      </w:r>
      <w:proofErr w:type="gramStart"/>
      <w:r w:rsidR="008C574A" w:rsidRPr="008C574A">
        <w:rPr>
          <w:rFonts w:cs="Calibri Light"/>
        </w:rPr>
        <w:t>distribution</w:t>
      </w:r>
      <w:proofErr w:type="gramEnd"/>
    </w:p>
    <w:p w14:paraId="0C60B544" w14:textId="77E7CFB6" w:rsidR="008C574A" w:rsidRPr="008C574A" w:rsidRDefault="00124114" w:rsidP="008C574A">
      <w:pPr>
        <w:pStyle w:val="ListParagraph"/>
        <w:numPr>
          <w:ilvl w:val="0"/>
          <w:numId w:val="12"/>
        </w:numPr>
        <w:spacing w:afterLines="60" w:after="144"/>
        <w:rPr>
          <w:rFonts w:cs="Calibri Light"/>
        </w:rPr>
      </w:pPr>
      <w:bookmarkStart w:id="1" w:name="_Hlk49420444"/>
      <w:r>
        <w:rPr>
          <w:rFonts w:cs="Calibri Light"/>
        </w:rPr>
        <w:t>t</w:t>
      </w:r>
      <w:r w:rsidR="008C574A" w:rsidRPr="008C574A">
        <w:rPr>
          <w:rFonts w:cs="Calibri Light"/>
        </w:rPr>
        <w:t xml:space="preserve">he tax treatment of the receipt for the non-resident entity receiving the </w:t>
      </w:r>
      <w:proofErr w:type="gramStart"/>
      <w:r w:rsidR="008C574A" w:rsidRPr="008C574A">
        <w:rPr>
          <w:rFonts w:cs="Calibri Light"/>
        </w:rPr>
        <w:t>distribution</w:t>
      </w:r>
      <w:proofErr w:type="gramEnd"/>
    </w:p>
    <w:bookmarkEnd w:id="1"/>
    <w:p w14:paraId="01BD1C86" w14:textId="23C2E1B4" w:rsidR="008C574A" w:rsidRDefault="00124114" w:rsidP="008C574A">
      <w:pPr>
        <w:pStyle w:val="ListParagraph"/>
        <w:numPr>
          <w:ilvl w:val="0"/>
          <w:numId w:val="12"/>
        </w:numPr>
        <w:spacing w:afterLines="60" w:after="144"/>
        <w:rPr>
          <w:rFonts w:cs="Calibri Light"/>
        </w:rPr>
      </w:pPr>
      <w:r>
        <w:rPr>
          <w:rFonts w:cs="Calibri Light"/>
        </w:rPr>
        <w:t>t</w:t>
      </w:r>
      <w:r w:rsidR="008C574A" w:rsidRPr="008C574A">
        <w:rPr>
          <w:rFonts w:cs="Calibri Light"/>
        </w:rPr>
        <w:t>he proportion of the payment subject to withholding tax</w:t>
      </w:r>
      <w:r w:rsidR="00A80389">
        <w:rPr>
          <w:rFonts w:cs="Calibri Light"/>
        </w:rPr>
        <w:t>,</w:t>
      </w:r>
      <w:r w:rsidR="00A55BF0">
        <w:rPr>
          <w:rFonts w:cs="Calibri Light"/>
        </w:rPr>
        <w:t xml:space="preserve"> and</w:t>
      </w:r>
    </w:p>
    <w:p w14:paraId="5F8D9A04" w14:textId="3436A6FE" w:rsidR="00FD48F7" w:rsidRPr="008C574A" w:rsidRDefault="00124114" w:rsidP="008C574A">
      <w:pPr>
        <w:pStyle w:val="ListParagraph"/>
        <w:numPr>
          <w:ilvl w:val="0"/>
          <w:numId w:val="12"/>
        </w:numPr>
        <w:spacing w:afterLines="60" w:after="144"/>
        <w:rPr>
          <w:rFonts w:cs="Calibri Light"/>
        </w:rPr>
      </w:pPr>
      <w:r>
        <w:rPr>
          <w:rFonts w:cs="Calibri Light"/>
        </w:rPr>
        <w:lastRenderedPageBreak/>
        <w:t>i</w:t>
      </w:r>
      <w:r w:rsidR="009D173E">
        <w:rPr>
          <w:rFonts w:cs="Calibri Light"/>
        </w:rPr>
        <w:t>f the withholding tax rate is less than 10</w:t>
      </w:r>
      <w:r w:rsidR="00592C9D">
        <w:rPr>
          <w:rFonts w:cs="Calibri Light"/>
        </w:rPr>
        <w:t xml:space="preserve"> per cent </w:t>
      </w:r>
      <w:r w:rsidR="009D173E">
        <w:rPr>
          <w:rFonts w:cs="Calibri Light"/>
        </w:rPr>
        <w:t>or the payment is not subject to withholding tax, the reason(s) why.</w:t>
      </w:r>
    </w:p>
    <w:p w14:paraId="224635CB" w14:textId="77777777" w:rsidR="00A053B0" w:rsidRDefault="00A053B0" w:rsidP="00FD48F7">
      <w:pPr>
        <w:keepLines/>
        <w:numPr>
          <w:ilvl w:val="0"/>
          <w:numId w:val="11"/>
        </w:numPr>
        <w:spacing w:after="0" w:line="276" w:lineRule="auto"/>
        <w:outlineLvl w:val="1"/>
        <w:rPr>
          <w:rFonts w:cs="Calibri Light"/>
          <w:bCs/>
          <w:iCs/>
          <w:szCs w:val="22"/>
        </w:rPr>
      </w:pPr>
      <w:r w:rsidRPr="00875BD7">
        <w:rPr>
          <w:rFonts w:cs="Calibri Light"/>
          <w:bCs/>
          <w:iCs/>
          <w:szCs w:val="22"/>
        </w:rPr>
        <w:t xml:space="preserve">Provide for each arrangement where an interest payment is expected to be made to any overseas recipient (excluding a foreign bank) after the Transaction’s completion: </w:t>
      </w:r>
    </w:p>
    <w:p w14:paraId="7F016F6C" w14:textId="501A87CC" w:rsidR="00560C6A" w:rsidRPr="00560C6A" w:rsidRDefault="00124114" w:rsidP="00560C6A">
      <w:pPr>
        <w:pStyle w:val="ListParagraph"/>
        <w:numPr>
          <w:ilvl w:val="0"/>
          <w:numId w:val="12"/>
        </w:numPr>
        <w:spacing w:afterLines="60" w:after="144"/>
        <w:rPr>
          <w:rFonts w:cs="Calibri Light"/>
        </w:rPr>
      </w:pPr>
      <w:r>
        <w:rPr>
          <w:rFonts w:cs="Calibri Light"/>
        </w:rPr>
        <w:t>t</w:t>
      </w:r>
      <w:r w:rsidR="00560C6A" w:rsidRPr="00560C6A">
        <w:rPr>
          <w:rFonts w:cs="Calibri Light"/>
        </w:rPr>
        <w:t>he name and tax residency of the recipient</w:t>
      </w:r>
    </w:p>
    <w:p w14:paraId="610FBC81" w14:textId="51A03D1B" w:rsidR="00560C6A" w:rsidRPr="00560C6A" w:rsidRDefault="00124114" w:rsidP="00560C6A">
      <w:pPr>
        <w:pStyle w:val="ListParagraph"/>
        <w:numPr>
          <w:ilvl w:val="0"/>
          <w:numId w:val="12"/>
        </w:numPr>
        <w:spacing w:afterLines="60" w:after="144"/>
        <w:rPr>
          <w:rFonts w:cs="Calibri Light"/>
        </w:rPr>
      </w:pPr>
      <w:r>
        <w:rPr>
          <w:rFonts w:cs="Calibri Light"/>
        </w:rPr>
        <w:t>t</w:t>
      </w:r>
      <w:r w:rsidR="00560C6A" w:rsidRPr="00560C6A">
        <w:rPr>
          <w:rFonts w:cs="Calibri Light"/>
        </w:rPr>
        <w:t>he proportion of the payment subject to Australian interest withholding tax</w:t>
      </w:r>
    </w:p>
    <w:p w14:paraId="582E6AE2" w14:textId="700A7E95" w:rsidR="00560C6A" w:rsidRPr="00560C6A" w:rsidRDefault="00124114" w:rsidP="00560C6A">
      <w:pPr>
        <w:pStyle w:val="ListParagraph"/>
        <w:numPr>
          <w:ilvl w:val="0"/>
          <w:numId w:val="12"/>
        </w:numPr>
        <w:spacing w:afterLines="60" w:after="144"/>
        <w:rPr>
          <w:rFonts w:cs="Calibri Light"/>
        </w:rPr>
      </w:pPr>
      <w:r>
        <w:rPr>
          <w:rFonts w:cs="Calibri Light"/>
        </w:rPr>
        <w:t>i</w:t>
      </w:r>
      <w:r w:rsidR="00560C6A" w:rsidRPr="00560C6A">
        <w:rPr>
          <w:rFonts w:cs="Calibri Light"/>
        </w:rPr>
        <w:t>f the Australian interest withholding tax rate is less than 10</w:t>
      </w:r>
      <w:r w:rsidR="00592C9D">
        <w:rPr>
          <w:rFonts w:cs="Calibri Light"/>
        </w:rPr>
        <w:t xml:space="preserve"> per cent </w:t>
      </w:r>
      <w:r w:rsidR="00560C6A" w:rsidRPr="00560C6A">
        <w:rPr>
          <w:rFonts w:cs="Calibri Light"/>
        </w:rPr>
        <w:t xml:space="preserve">or the payment is not subject to withholding tax, the reason(s) </w:t>
      </w:r>
      <w:proofErr w:type="gramStart"/>
      <w:r w:rsidR="00560C6A" w:rsidRPr="00560C6A">
        <w:rPr>
          <w:rFonts w:cs="Calibri Light"/>
        </w:rPr>
        <w:t>why</w:t>
      </w:r>
      <w:proofErr w:type="gramEnd"/>
    </w:p>
    <w:p w14:paraId="02CCCFCB" w14:textId="0F87192A" w:rsidR="00560C6A" w:rsidRPr="00560C6A" w:rsidRDefault="00124114" w:rsidP="00560C6A">
      <w:pPr>
        <w:pStyle w:val="ListParagraph"/>
        <w:numPr>
          <w:ilvl w:val="0"/>
          <w:numId w:val="12"/>
        </w:numPr>
        <w:spacing w:afterLines="60" w:after="144"/>
        <w:rPr>
          <w:rFonts w:cs="Calibri Light"/>
        </w:rPr>
      </w:pPr>
      <w:bookmarkStart w:id="2" w:name="_Hlk56078599"/>
      <w:r>
        <w:rPr>
          <w:rFonts w:cs="Calibri Light"/>
        </w:rPr>
        <w:t>a</w:t>
      </w:r>
      <w:r w:rsidR="00560C6A" w:rsidRPr="00560C6A">
        <w:rPr>
          <w:rFonts w:cs="Calibri Light"/>
        </w:rPr>
        <w:t xml:space="preserve"> description of the payment’s characterisation for tax purposes in the hands of the recipient</w:t>
      </w:r>
    </w:p>
    <w:p w14:paraId="39122559" w14:textId="5610D08A" w:rsidR="00560C6A" w:rsidRPr="00560C6A" w:rsidRDefault="00124114" w:rsidP="00560C6A">
      <w:pPr>
        <w:pStyle w:val="ListParagraph"/>
        <w:numPr>
          <w:ilvl w:val="0"/>
          <w:numId w:val="12"/>
        </w:numPr>
        <w:spacing w:afterLines="60" w:after="144"/>
        <w:rPr>
          <w:rFonts w:cs="Calibri Light"/>
        </w:rPr>
      </w:pPr>
      <w:r>
        <w:rPr>
          <w:rFonts w:cs="Calibri Light"/>
        </w:rPr>
        <w:t>t</w:t>
      </w:r>
      <w:r w:rsidR="00560C6A" w:rsidRPr="00560C6A">
        <w:rPr>
          <w:rFonts w:cs="Calibri Light"/>
        </w:rPr>
        <w:t>he tax treatment of the receipt of interest for the recipient, including the effective tax rate it will be subject to</w:t>
      </w:r>
    </w:p>
    <w:p w14:paraId="24B6FC9F" w14:textId="6CDEC464" w:rsidR="00560C6A" w:rsidRPr="00560C6A" w:rsidRDefault="00124114" w:rsidP="00560C6A">
      <w:pPr>
        <w:pStyle w:val="ListParagraph"/>
        <w:numPr>
          <w:ilvl w:val="0"/>
          <w:numId w:val="12"/>
        </w:numPr>
        <w:spacing w:afterLines="60" w:after="144"/>
        <w:rPr>
          <w:rFonts w:cs="Calibri Light"/>
        </w:rPr>
      </w:pPr>
      <w:bookmarkStart w:id="3" w:name="_Hlk56078581"/>
      <w:bookmarkEnd w:id="2"/>
      <w:r>
        <w:rPr>
          <w:rFonts w:cs="Calibri Light"/>
        </w:rPr>
        <w:t>i</w:t>
      </w:r>
      <w:r w:rsidR="00560C6A" w:rsidRPr="5052A8DF">
        <w:rPr>
          <w:rFonts w:cs="Calibri Light"/>
        </w:rPr>
        <w:t>f the interest payment is subject to a foreign tax rate of 10</w:t>
      </w:r>
      <w:r w:rsidR="00592C9D">
        <w:rPr>
          <w:rFonts w:cs="Calibri Light"/>
        </w:rPr>
        <w:t xml:space="preserve"> per cent</w:t>
      </w:r>
      <w:r w:rsidR="00560C6A" w:rsidRPr="5052A8DF">
        <w:rPr>
          <w:rFonts w:cs="Calibri Light"/>
        </w:rPr>
        <w:t xml:space="preserve"> or less, confirm if the hybrid integrity rule in Subdivision 832-J of the ITAA 1997 applies</w:t>
      </w:r>
      <w:r w:rsidR="00D60AEE">
        <w:rPr>
          <w:rFonts w:cs="Calibri Light"/>
        </w:rPr>
        <w:t>, and</w:t>
      </w:r>
    </w:p>
    <w:p w14:paraId="1B06346F" w14:textId="5A1E8D32" w:rsidR="00560C6A" w:rsidRPr="00560C6A" w:rsidRDefault="00124114" w:rsidP="00560C6A">
      <w:pPr>
        <w:pStyle w:val="ListParagraph"/>
        <w:numPr>
          <w:ilvl w:val="0"/>
          <w:numId w:val="12"/>
        </w:numPr>
        <w:spacing w:afterLines="60" w:after="144"/>
        <w:rPr>
          <w:rFonts w:cs="Calibri Light"/>
        </w:rPr>
      </w:pPr>
      <w:r>
        <w:rPr>
          <w:rFonts w:cs="Calibri Light"/>
        </w:rPr>
        <w:t>i</w:t>
      </w:r>
      <w:r w:rsidR="00560C6A" w:rsidRPr="00560C6A">
        <w:rPr>
          <w:rFonts w:cs="Calibri Light"/>
        </w:rPr>
        <w:t xml:space="preserve">f deductions were not denied under Subdivision 832-J of the ITAA 1997, advise the reason for this. Reasons may include: </w:t>
      </w:r>
    </w:p>
    <w:p w14:paraId="5816438A" w14:textId="4FBD8A4A" w:rsidR="00560C6A" w:rsidRDefault="00124114" w:rsidP="00A36FBF">
      <w:pPr>
        <w:numPr>
          <w:ilvl w:val="0"/>
          <w:numId w:val="18"/>
        </w:numPr>
        <w:autoSpaceDE w:val="0"/>
        <w:autoSpaceDN w:val="0"/>
        <w:rPr>
          <w:rFonts w:cs="Calibri Light"/>
          <w:szCs w:val="22"/>
        </w:rPr>
      </w:pPr>
      <w:r>
        <w:rPr>
          <w:rFonts w:cs="Calibri Light"/>
          <w:szCs w:val="22"/>
        </w:rPr>
        <w:t>p</w:t>
      </w:r>
      <w:r w:rsidR="00560C6A" w:rsidRPr="00875BD7">
        <w:rPr>
          <w:rFonts w:cs="Calibri Light"/>
          <w:szCs w:val="22"/>
        </w:rPr>
        <w:t xml:space="preserve">rincipal purpose test is not </w:t>
      </w:r>
      <w:proofErr w:type="gramStart"/>
      <w:r w:rsidR="00560C6A" w:rsidRPr="00875BD7">
        <w:rPr>
          <w:rFonts w:cs="Calibri Light"/>
          <w:szCs w:val="22"/>
        </w:rPr>
        <w:t>satisfied</w:t>
      </w:r>
      <w:proofErr w:type="gramEnd"/>
    </w:p>
    <w:p w14:paraId="08A90D9F" w14:textId="0CD8D2C3" w:rsidR="00560C6A" w:rsidRDefault="00124114" w:rsidP="00A36FBF">
      <w:pPr>
        <w:numPr>
          <w:ilvl w:val="0"/>
          <w:numId w:val="18"/>
        </w:numPr>
        <w:autoSpaceDE w:val="0"/>
        <w:autoSpaceDN w:val="0"/>
        <w:rPr>
          <w:rFonts w:cs="Calibri Light"/>
          <w:szCs w:val="22"/>
        </w:rPr>
      </w:pPr>
      <w:r>
        <w:rPr>
          <w:rFonts w:cs="Calibri Light"/>
          <w:szCs w:val="22"/>
        </w:rPr>
        <w:t>s</w:t>
      </w:r>
      <w:r w:rsidR="00560C6A" w:rsidRPr="00875BD7">
        <w:rPr>
          <w:rFonts w:cs="Calibri Light"/>
          <w:szCs w:val="22"/>
        </w:rPr>
        <w:t xml:space="preserve">ame or lower rate of tax would have been paid by ultimate </w:t>
      </w:r>
      <w:proofErr w:type="gramStart"/>
      <w:r w:rsidR="00560C6A" w:rsidRPr="00875BD7">
        <w:rPr>
          <w:rFonts w:cs="Calibri Light"/>
          <w:szCs w:val="22"/>
        </w:rPr>
        <w:t>parent</w:t>
      </w:r>
      <w:proofErr w:type="gramEnd"/>
    </w:p>
    <w:p w14:paraId="31885808" w14:textId="576F2CFF" w:rsidR="00560C6A" w:rsidRDefault="00124114" w:rsidP="00A36FBF">
      <w:pPr>
        <w:numPr>
          <w:ilvl w:val="0"/>
          <w:numId w:val="18"/>
        </w:numPr>
        <w:autoSpaceDE w:val="0"/>
        <w:autoSpaceDN w:val="0"/>
        <w:rPr>
          <w:rFonts w:cs="Calibri Light"/>
          <w:szCs w:val="22"/>
        </w:rPr>
      </w:pPr>
      <w:r>
        <w:rPr>
          <w:rFonts w:cs="Calibri Light"/>
          <w:szCs w:val="22"/>
        </w:rPr>
        <w:t>i</w:t>
      </w:r>
      <w:r w:rsidR="00560C6A" w:rsidRPr="00875BD7">
        <w:rPr>
          <w:rFonts w:cs="Calibri Light"/>
          <w:szCs w:val="22"/>
        </w:rPr>
        <w:t xml:space="preserve">t is reasonable to conclude that the amount of the payment has been taken into account under the </w:t>
      </w:r>
      <w:r w:rsidR="00CB547D">
        <w:rPr>
          <w:rFonts w:cs="Calibri Light"/>
          <w:szCs w:val="22"/>
        </w:rPr>
        <w:t>controlled foreign company (</w:t>
      </w:r>
      <w:r w:rsidR="00560C6A" w:rsidRPr="00875BD7">
        <w:rPr>
          <w:rFonts w:cs="Calibri Light"/>
          <w:szCs w:val="22"/>
        </w:rPr>
        <w:t>CFC</w:t>
      </w:r>
      <w:r w:rsidR="00CB547D">
        <w:rPr>
          <w:rFonts w:cs="Calibri Light"/>
          <w:szCs w:val="22"/>
        </w:rPr>
        <w:t>)</w:t>
      </w:r>
      <w:r w:rsidR="00560C6A" w:rsidRPr="00875BD7">
        <w:rPr>
          <w:rFonts w:cs="Calibri Light"/>
          <w:szCs w:val="22"/>
        </w:rPr>
        <w:t xml:space="preserve"> provisions (</w:t>
      </w:r>
      <w:r w:rsidR="00560C6A" w:rsidRPr="00875BD7">
        <w:rPr>
          <w:rFonts w:cs="Calibri Light"/>
          <w:i/>
          <w:iCs/>
          <w:szCs w:val="22"/>
        </w:rPr>
        <w:t>Part X of the ITAA 1936</w:t>
      </w:r>
      <w:r w:rsidR="00560C6A" w:rsidRPr="00875BD7">
        <w:rPr>
          <w:rFonts w:cs="Calibri Light"/>
          <w:szCs w:val="22"/>
        </w:rPr>
        <w:t>) and the sum of the attribution percentages of each attributable taxpayer in relation to the interposed foreign entity is at least 100 per cent, or the payment has been taken into account under the law of a foreign country with substantially the same effect as the CFC provisions in Part X</w:t>
      </w:r>
      <w:r w:rsidR="00C57E84">
        <w:rPr>
          <w:rFonts w:cs="Calibri Light"/>
          <w:szCs w:val="22"/>
        </w:rPr>
        <w:t>,</w:t>
      </w:r>
      <w:r w:rsidR="00A55BF0">
        <w:rPr>
          <w:rFonts w:cs="Calibri Light"/>
          <w:szCs w:val="22"/>
        </w:rPr>
        <w:t xml:space="preserve"> and</w:t>
      </w:r>
    </w:p>
    <w:p w14:paraId="43E5CE9D" w14:textId="1AE0C7C6" w:rsidR="00560C6A" w:rsidRPr="00560C6A" w:rsidRDefault="00124114" w:rsidP="00A36FBF">
      <w:pPr>
        <w:numPr>
          <w:ilvl w:val="0"/>
          <w:numId w:val="18"/>
        </w:numPr>
        <w:autoSpaceDE w:val="0"/>
        <w:autoSpaceDN w:val="0"/>
        <w:rPr>
          <w:rFonts w:cs="Calibri Light"/>
          <w:szCs w:val="22"/>
        </w:rPr>
      </w:pPr>
      <w:r>
        <w:rPr>
          <w:rFonts w:cs="Calibri Light"/>
          <w:szCs w:val="22"/>
        </w:rPr>
        <w:t>t</w:t>
      </w:r>
      <w:r w:rsidR="00560C6A" w:rsidRPr="00875BD7">
        <w:rPr>
          <w:rFonts w:cs="Calibri Light"/>
          <w:szCs w:val="22"/>
        </w:rPr>
        <w:t xml:space="preserve">he payment has given rise to a mismatch in an earlier Subdivision of 832. </w:t>
      </w:r>
      <w:bookmarkEnd w:id="3"/>
    </w:p>
    <w:p w14:paraId="0F87E27B" w14:textId="6362E2A6" w:rsidR="00025808" w:rsidRDefault="00025808" w:rsidP="00025808">
      <w:pPr>
        <w:keepLines/>
        <w:numPr>
          <w:ilvl w:val="0"/>
          <w:numId w:val="11"/>
        </w:numPr>
        <w:spacing w:before="200" w:after="0" w:line="276" w:lineRule="auto"/>
        <w:outlineLvl w:val="1"/>
        <w:rPr>
          <w:rFonts w:cs="Calibri Light"/>
        </w:rPr>
      </w:pPr>
      <w:r w:rsidRPr="5052A8DF">
        <w:rPr>
          <w:rFonts w:cs="Calibri Light"/>
        </w:rPr>
        <w:t>Confirm which (if any) entities in the post-acquisition structure will be members of a ‘Tax Consolidated Group’ in accordance with the consolidation rules contained in the ITAA 1997 and provide the name of the head entity for each tax consolidated group.</w:t>
      </w:r>
    </w:p>
    <w:p w14:paraId="4F9A5821" w14:textId="2DD79744" w:rsidR="007F2E83" w:rsidRPr="00F66504" w:rsidRDefault="00025808" w:rsidP="00CA68A9">
      <w:pPr>
        <w:keepLines/>
        <w:numPr>
          <w:ilvl w:val="0"/>
          <w:numId w:val="11"/>
        </w:numPr>
        <w:spacing w:before="200" w:after="0" w:line="276" w:lineRule="auto"/>
        <w:outlineLvl w:val="1"/>
        <w:rPr>
          <w:rFonts w:cs="Calibri Light"/>
          <w:bCs/>
          <w:iCs/>
          <w:szCs w:val="22"/>
        </w:rPr>
      </w:pPr>
      <w:r w:rsidRPr="00875BD7">
        <w:rPr>
          <w:rFonts w:cs="Calibri Light"/>
          <w:bCs/>
          <w:iCs/>
          <w:szCs w:val="22"/>
        </w:rPr>
        <w:t>For each entity that will be required to lodge an Australian income tax return:</w:t>
      </w:r>
    </w:p>
    <w:p w14:paraId="021EF8F1" w14:textId="090A203C" w:rsidR="00B31A57" w:rsidRPr="002F329A" w:rsidRDefault="00124114" w:rsidP="002F329A">
      <w:pPr>
        <w:pStyle w:val="ListParagraph"/>
        <w:numPr>
          <w:ilvl w:val="0"/>
          <w:numId w:val="12"/>
        </w:numPr>
        <w:spacing w:afterLines="60" w:after="144"/>
        <w:rPr>
          <w:rFonts w:cs="Calibri Light"/>
        </w:rPr>
      </w:pPr>
      <w:r>
        <w:rPr>
          <w:rFonts w:cs="Calibri Light"/>
        </w:rPr>
        <w:t>w</w:t>
      </w:r>
      <w:r w:rsidR="00B31A57" w:rsidRPr="00B31A57">
        <w:rPr>
          <w:rFonts w:cs="Calibri Light"/>
        </w:rPr>
        <w:t>ill it be subject to the Thin Capitalisation rules in Division 820 of the ITAA 1997</w:t>
      </w:r>
    </w:p>
    <w:p w14:paraId="370ECE10" w14:textId="27DC9EE7" w:rsidR="002F329A" w:rsidRDefault="00124114" w:rsidP="002F329A">
      <w:pPr>
        <w:pStyle w:val="ListParagraph"/>
        <w:numPr>
          <w:ilvl w:val="0"/>
          <w:numId w:val="12"/>
        </w:numPr>
        <w:spacing w:afterLines="60" w:after="144"/>
        <w:rPr>
          <w:rFonts w:cs="Calibri Light"/>
        </w:rPr>
      </w:pPr>
      <w:r>
        <w:rPr>
          <w:rFonts w:cs="Calibri Light"/>
        </w:rPr>
        <w:t>t</w:t>
      </w:r>
      <w:r w:rsidR="00B31A57" w:rsidRPr="00B31A57">
        <w:rPr>
          <w:rFonts w:cs="Calibri Light"/>
        </w:rPr>
        <w:t>he method it will apply to determine their respective maximum allowable debt amount post the completion of the Transaction</w:t>
      </w:r>
      <w:r w:rsidR="00C87964">
        <w:rPr>
          <w:rFonts w:cs="Calibri Light"/>
        </w:rPr>
        <w:t xml:space="preserve"> </w:t>
      </w:r>
      <w:r w:rsidR="00A55BF0">
        <w:rPr>
          <w:rFonts w:cs="Calibri Light"/>
        </w:rPr>
        <w:t>7</w:t>
      </w:r>
      <w:r w:rsidR="00D60AEE">
        <w:rPr>
          <w:rFonts w:cs="Calibri Light"/>
        </w:rPr>
        <w:t>,</w:t>
      </w:r>
      <w:r w:rsidR="00A55BF0">
        <w:rPr>
          <w:rFonts w:cs="Calibri Light"/>
        </w:rPr>
        <w:t xml:space="preserve"> and</w:t>
      </w:r>
    </w:p>
    <w:p w14:paraId="1B47DD58" w14:textId="1F5D972E" w:rsidR="00271041" w:rsidRPr="002F329A" w:rsidRDefault="00124114" w:rsidP="002F329A">
      <w:pPr>
        <w:pStyle w:val="ListParagraph"/>
        <w:numPr>
          <w:ilvl w:val="0"/>
          <w:numId w:val="12"/>
        </w:numPr>
        <w:spacing w:afterLines="60" w:after="144"/>
        <w:rPr>
          <w:rFonts w:cs="Calibri Light"/>
        </w:rPr>
      </w:pPr>
      <w:r>
        <w:rPr>
          <w:rFonts w:cs="Calibri Light"/>
        </w:rPr>
        <w:t>i</w:t>
      </w:r>
      <w:r w:rsidR="00B31A57" w:rsidRPr="002F329A">
        <w:rPr>
          <w:rFonts w:cs="Calibri Light"/>
        </w:rPr>
        <w:t>f it will rely on any exemption from the Thin Capitalisation rules, which exemption(s) are to be relied on and the reasons why they apply</w:t>
      </w:r>
      <w:r w:rsidR="002F329A" w:rsidRPr="002F329A">
        <w:rPr>
          <w:rFonts w:cs="Calibri Light"/>
        </w:rPr>
        <w:t>.</w:t>
      </w:r>
    </w:p>
    <w:sectPr w:rsidR="00271041" w:rsidRPr="002F329A" w:rsidSect="00300C95">
      <w:headerReference w:type="even" r:id="rId7"/>
      <w:headerReference w:type="default" r:id="rId8"/>
      <w:footerReference w:type="even" r:id="rId9"/>
      <w:footerReference w:type="default" r:id="rId10"/>
      <w:headerReference w:type="first" r:id="rId11"/>
      <w:footerReference w:type="first" r:id="rId12"/>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911D3" w14:textId="77777777" w:rsidR="00015E6F" w:rsidRDefault="00015E6F" w:rsidP="00886BC4">
      <w:r>
        <w:separator/>
      </w:r>
    </w:p>
    <w:p w14:paraId="5FCDB9A6" w14:textId="77777777" w:rsidR="00015E6F" w:rsidRDefault="00015E6F"/>
  </w:endnote>
  <w:endnote w:type="continuationSeparator" w:id="0">
    <w:p w14:paraId="3230939B" w14:textId="77777777" w:rsidR="00015E6F" w:rsidRDefault="00015E6F" w:rsidP="00886BC4">
      <w:r>
        <w:continuationSeparator/>
      </w:r>
    </w:p>
    <w:p w14:paraId="0C9B76F5" w14:textId="77777777" w:rsidR="00015E6F" w:rsidRDefault="00015E6F"/>
  </w:endnote>
  <w:endnote w:type="continuationNotice" w:id="1">
    <w:p w14:paraId="05C621D6" w14:textId="77777777" w:rsidR="00015E6F" w:rsidRDefault="00015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A28CE" w14:textId="7B623C9F" w:rsidR="004C2DAD" w:rsidRDefault="00B25804">
    <w:pPr>
      <w:pStyle w:val="Footer"/>
    </w:pPr>
    <w:r>
      <w:rPr>
        <w:noProof/>
      </w:rPr>
      <mc:AlternateContent>
        <mc:Choice Requires="wps">
          <w:drawing>
            <wp:anchor distT="0" distB="0" distL="0" distR="0" simplePos="0" relativeHeight="251658242" behindDoc="0" locked="0" layoutInCell="1" allowOverlap="1" wp14:anchorId="02BC8718" wp14:editId="1AE6D20F">
              <wp:simplePos x="635" y="635"/>
              <wp:positionH relativeFrom="page">
                <wp:align>center</wp:align>
              </wp:positionH>
              <wp:positionV relativeFrom="page">
                <wp:align>bottom</wp:align>
              </wp:positionV>
              <wp:extent cx="443865" cy="443865"/>
              <wp:effectExtent l="0" t="0" r="635" b="0"/>
              <wp:wrapNone/>
              <wp:docPr id="69967248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B8D100" w14:textId="5136C258" w:rsidR="00B25804" w:rsidRPr="00B25804" w:rsidRDefault="00B25804" w:rsidP="00B25804">
                          <w:pPr>
                            <w:spacing w:after="0"/>
                            <w:rPr>
                              <w:rFonts w:ascii="Calibri" w:eastAsia="Calibri" w:hAnsi="Calibri" w:cs="Calibri"/>
                              <w:noProof/>
                              <w:color w:val="FF0000"/>
                              <w:sz w:val="24"/>
                              <w:szCs w:val="24"/>
                            </w:rPr>
                          </w:pPr>
                          <w:r w:rsidRPr="00B2580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BC8718"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4B8D100" w14:textId="5136C258" w:rsidR="00B25804" w:rsidRPr="00B25804" w:rsidRDefault="00B25804" w:rsidP="00B25804">
                    <w:pPr>
                      <w:spacing w:after="0"/>
                      <w:rPr>
                        <w:rFonts w:ascii="Calibri" w:eastAsia="Calibri" w:hAnsi="Calibri" w:cs="Calibri"/>
                        <w:noProof/>
                        <w:color w:val="FF0000"/>
                        <w:sz w:val="24"/>
                        <w:szCs w:val="24"/>
                      </w:rPr>
                    </w:pPr>
                    <w:r w:rsidRPr="00B25804">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08AC" w14:textId="107CC362" w:rsidR="00A15DB7" w:rsidRPr="00E81A92" w:rsidRDefault="00313B67" w:rsidP="00E81A92">
    <w:pPr>
      <w:pStyle w:val="Footer"/>
      <w:jc w:val="right"/>
    </w:pPr>
    <w:r w:rsidRPr="00AC3B66">
      <w:rPr>
        <w:noProof/>
        <w:position w:val="-10"/>
      </w:rPr>
      <w:drawing>
        <wp:anchor distT="0" distB="0" distL="114300" distR="114300" simplePos="0" relativeHeight="251658243" behindDoc="0" locked="0" layoutInCell="1" allowOverlap="1" wp14:anchorId="43988A7F" wp14:editId="47D1CD00">
          <wp:simplePos x="0" y="0"/>
          <wp:positionH relativeFrom="margin">
            <wp:align>left</wp:align>
          </wp:positionH>
          <wp:positionV relativeFrom="paragraph">
            <wp:posOffset>52070</wp:posOffset>
          </wp:positionV>
          <wp:extent cx="1324800" cy="201600"/>
          <wp:effectExtent l="0" t="0" r="0" b="825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anchor>
      </w:drawing>
    </w:r>
    <w:r w:rsidR="00E81A92">
      <w:tab/>
    </w:r>
    <w:r w:rsidR="00E81A92" w:rsidRPr="00565A52">
      <w:t xml:space="preserve">Last updated: </w:t>
    </w:r>
    <w:r w:rsidR="005D2886">
      <w:t xml:space="preserve">9 May </w:t>
    </w:r>
    <w:r w:rsidR="009B3F65">
      <w:t>202</w:t>
    </w:r>
    <w:r w:rsidR="00C33E10">
      <w:t>5</w:t>
    </w:r>
    <w:r w:rsidR="00E81A92">
      <w:t xml:space="preserve"> | </w:t>
    </w:r>
    <w:r w:rsidR="00E81A92" w:rsidRPr="00565A52">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4C41" w14:textId="43B8B848" w:rsidR="00300C95" w:rsidRPr="00E81A92" w:rsidRDefault="00E81A92" w:rsidP="00BA123B">
    <w:pPr>
      <w:pStyle w:val="Footer"/>
      <w:tabs>
        <w:tab w:val="clear" w:pos="4320"/>
        <w:tab w:val="clear" w:pos="8640"/>
        <w:tab w:val="center" w:pos="7938"/>
      </w:tabs>
      <w:jc w:val="right"/>
    </w:pPr>
    <w:r w:rsidRPr="00AC3B66">
      <w:rPr>
        <w:noProof/>
        <w:position w:val="-10"/>
      </w:rPr>
      <w:drawing>
        <wp:inline distT="0" distB="0" distL="0" distR="0" wp14:anchorId="1D14F50B" wp14:editId="0505DD1F">
          <wp:extent cx="1324800" cy="201600"/>
          <wp:effectExtent l="0" t="0" r="0" b="8255"/>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Pr="00565A52">
      <w:t xml:space="preserve">Last updated: </w:t>
    </w:r>
    <w:r w:rsidR="009D176D">
      <w:t>9 May 2025</w:t>
    </w:r>
    <w:r>
      <w:t xml:space="preserve">|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75ABA" w14:textId="77777777" w:rsidR="00015E6F" w:rsidRDefault="00015E6F" w:rsidP="00886BC4">
      <w:r>
        <w:separator/>
      </w:r>
    </w:p>
    <w:p w14:paraId="6DE04C9D" w14:textId="77777777" w:rsidR="00015E6F" w:rsidRDefault="00015E6F"/>
  </w:footnote>
  <w:footnote w:type="continuationSeparator" w:id="0">
    <w:p w14:paraId="6FA06653" w14:textId="77777777" w:rsidR="00015E6F" w:rsidRDefault="00015E6F" w:rsidP="00886BC4">
      <w:r>
        <w:continuationSeparator/>
      </w:r>
    </w:p>
    <w:p w14:paraId="7782792E" w14:textId="77777777" w:rsidR="00015E6F" w:rsidRDefault="00015E6F"/>
  </w:footnote>
  <w:footnote w:type="continuationNotice" w:id="1">
    <w:p w14:paraId="568326AF" w14:textId="77777777" w:rsidR="00015E6F" w:rsidRDefault="00015E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52DB" w14:textId="67B8EA06" w:rsidR="004C2DAD" w:rsidRDefault="00B25804">
    <w:pPr>
      <w:pStyle w:val="Header"/>
    </w:pPr>
    <w:r>
      <w:rPr>
        <w:noProof/>
      </w:rPr>
      <mc:AlternateContent>
        <mc:Choice Requires="wps">
          <w:drawing>
            <wp:anchor distT="0" distB="0" distL="0" distR="0" simplePos="0" relativeHeight="251658241" behindDoc="0" locked="0" layoutInCell="1" allowOverlap="1" wp14:anchorId="3BF6CA4D" wp14:editId="1E68A961">
              <wp:simplePos x="635" y="635"/>
              <wp:positionH relativeFrom="page">
                <wp:align>center</wp:align>
              </wp:positionH>
              <wp:positionV relativeFrom="page">
                <wp:align>top</wp:align>
              </wp:positionV>
              <wp:extent cx="443865" cy="443865"/>
              <wp:effectExtent l="0" t="0" r="635" b="4445"/>
              <wp:wrapNone/>
              <wp:docPr id="200775598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FF5728" w14:textId="32BF85F4" w:rsidR="00B25804" w:rsidRPr="00B25804" w:rsidRDefault="00B25804" w:rsidP="00B25804">
                          <w:pPr>
                            <w:spacing w:after="0"/>
                            <w:rPr>
                              <w:rFonts w:ascii="Calibri" w:eastAsia="Calibri" w:hAnsi="Calibri" w:cs="Calibri"/>
                              <w:noProof/>
                              <w:color w:val="FF0000"/>
                              <w:sz w:val="24"/>
                              <w:szCs w:val="24"/>
                            </w:rPr>
                          </w:pPr>
                          <w:r w:rsidRPr="00B2580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F6CA4D"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4FF5728" w14:textId="32BF85F4" w:rsidR="00B25804" w:rsidRPr="00B25804" w:rsidRDefault="00B25804" w:rsidP="00B25804">
                    <w:pPr>
                      <w:spacing w:after="0"/>
                      <w:rPr>
                        <w:rFonts w:ascii="Calibri" w:eastAsia="Calibri" w:hAnsi="Calibri" w:cs="Calibri"/>
                        <w:noProof/>
                        <w:color w:val="FF0000"/>
                        <w:sz w:val="24"/>
                        <w:szCs w:val="24"/>
                      </w:rPr>
                    </w:pPr>
                    <w:r w:rsidRPr="00B25804">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A1A0B" w14:textId="1EAED10F" w:rsidR="006D3EE7" w:rsidRPr="007F53C0" w:rsidRDefault="00FC2E34" w:rsidP="007F53C0">
    <w:pPr>
      <w:pStyle w:val="Header"/>
    </w:pPr>
    <w:r>
      <w:rPr>
        <w:noProof/>
      </w:rPr>
      <w:drawing>
        <wp:anchor distT="0" distB="0" distL="114300" distR="114300" simplePos="0" relativeHeight="251664388" behindDoc="1" locked="0" layoutInCell="1" allowOverlap="1" wp14:anchorId="0B6F0204" wp14:editId="2185CA30">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dec="http://schemas.microsoft.com/office/drawing/2017/decorative" xmlns:aclsh="http://schemas.microsoft.com/office/drawing/2020/classificationShape" xmlns:w16sdtfl="http://schemas.microsoft.com/office/word/2024/wordml/sdtformatlock"/>
                    </a:ext>
                  </a:extLst>
                </pic:spPr>
              </pic:pic>
            </a:graphicData>
          </a:graphic>
          <wp14:sizeRelH relativeFrom="page">
            <wp14:pctWidth>0</wp14:pctWidth>
          </wp14:sizeRelH>
          <wp14:sizeRelV relativeFrom="page">
            <wp14:pctHeight>0</wp14:pctHeight>
          </wp14:sizeRelV>
        </wp:anchor>
      </w:drawing>
    </w:r>
    <w:r w:rsidR="009D176D">
      <w:fldChar w:fldCharType="begin"/>
    </w:r>
    <w:r w:rsidR="009D176D">
      <w:instrText>STYLEREF  "Fact sheet title"  \* MERGEFORMAT</w:instrText>
    </w:r>
    <w:r w:rsidR="009D176D">
      <w:fldChar w:fldCharType="separate"/>
    </w:r>
    <w:r w:rsidR="009D176D" w:rsidRPr="009D176D">
      <w:rPr>
        <w:b/>
        <w:bCs/>
        <w:noProof/>
        <w:lang w:val="en-US"/>
      </w:rPr>
      <w:t>Additional taxation questions fact sheet</w:t>
    </w:r>
    <w:r w:rsidR="009D176D">
      <w:rPr>
        <w:b/>
        <w:bCs/>
        <w:noProof/>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F394" w14:textId="463A2517" w:rsidR="00300C95" w:rsidRDefault="007B075D">
    <w:pPr>
      <w:pStyle w:val="Header"/>
    </w:pPr>
    <w:r>
      <w:rPr>
        <w:noProof/>
      </w:rPr>
      <w:drawing>
        <wp:anchor distT="0" distB="0" distL="114300" distR="114300" simplePos="0" relativeHeight="251658240" behindDoc="1" locked="0" layoutInCell="1" allowOverlap="0" wp14:anchorId="5CD24A3F" wp14:editId="60365B2B">
          <wp:simplePos x="0" y="0"/>
          <wp:positionH relativeFrom="margin">
            <wp:posOffset>-1100455</wp:posOffset>
          </wp:positionH>
          <wp:positionV relativeFrom="page">
            <wp:posOffset>19050</wp:posOffset>
          </wp:positionV>
          <wp:extent cx="7599045" cy="151892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045" cy="1518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CD6D8F"/>
    <w:multiLevelType w:val="multilevel"/>
    <w:tmpl w:val="58E0EFDA"/>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E223A5"/>
    <w:multiLevelType w:val="hybridMultilevel"/>
    <w:tmpl w:val="22324D8E"/>
    <w:lvl w:ilvl="0" w:tplc="0C09001B">
      <w:start w:val="1"/>
      <w:numFmt w:val="lowerRoman"/>
      <w:lvlText w:val="%1."/>
      <w:lvlJc w:val="right"/>
      <w:pPr>
        <w:ind w:left="1077" w:hanging="360"/>
      </w:pPr>
      <w:rPr>
        <w:rFonts w:hint="default"/>
      </w:rPr>
    </w:lvl>
    <w:lvl w:ilvl="1" w:tplc="FFFFFFFF">
      <w:start w:val="1"/>
      <w:numFmt w:val="lowerRoman"/>
      <w:lvlText w:val="%2."/>
      <w:lvlJc w:val="right"/>
      <w:pPr>
        <w:ind w:left="2157" w:hanging="360"/>
      </w:pPr>
    </w:lvl>
    <w:lvl w:ilvl="2" w:tplc="FFFFFFFF">
      <w:start w:val="1"/>
      <w:numFmt w:val="lowerRoman"/>
      <w:lvlText w:val="%3."/>
      <w:lvlJc w:val="right"/>
      <w:pPr>
        <w:ind w:left="2517" w:hanging="180"/>
      </w:pPr>
    </w:lvl>
    <w:lvl w:ilvl="3" w:tplc="FFFFFFFF">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7" w15:restartNumberingAfterBreak="0">
    <w:nsid w:val="3E0215E3"/>
    <w:multiLevelType w:val="hybridMultilevel"/>
    <w:tmpl w:val="A6E41FDA"/>
    <w:lvl w:ilvl="0" w:tplc="0C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1FB0C2B"/>
    <w:multiLevelType w:val="hybridMultilevel"/>
    <w:tmpl w:val="E9145E38"/>
    <w:lvl w:ilvl="0" w:tplc="FFFFFFFF">
      <w:start w:val="1"/>
      <w:numFmt w:val="lowerRoman"/>
      <w:lvlText w:val="%1."/>
      <w:lvlJc w:val="right"/>
      <w:pPr>
        <w:ind w:left="1080" w:hanging="360"/>
      </w:pPr>
      <w:rPr>
        <w:rFonts w:hint="default"/>
      </w:rPr>
    </w:lvl>
    <w:lvl w:ilvl="1" w:tplc="0C090019">
      <w:start w:val="1"/>
      <w:numFmt w:val="lowerLetter"/>
      <w:lvlText w:val="%2."/>
      <w:lvlJc w:val="left"/>
      <w:pPr>
        <w:ind w:left="1919"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09939B2"/>
    <w:multiLevelType w:val="hybridMultilevel"/>
    <w:tmpl w:val="085ADADE"/>
    <w:lvl w:ilvl="0" w:tplc="0066C04E">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11" w15:restartNumberingAfterBreak="0">
    <w:nsid w:val="59445590"/>
    <w:multiLevelType w:val="hybridMultilevel"/>
    <w:tmpl w:val="F9CC9E9C"/>
    <w:lvl w:ilvl="0" w:tplc="0C09001B">
      <w:start w:val="1"/>
      <w:numFmt w:val="lowerRoman"/>
      <w:lvlText w:val="%1."/>
      <w:lvlJc w:val="right"/>
      <w:pPr>
        <w:ind w:left="1080" w:hanging="360"/>
      </w:pPr>
      <w:rPr>
        <w:rFonts w:hint="default"/>
      </w:rPr>
    </w:lvl>
    <w:lvl w:ilvl="1" w:tplc="0C09001B">
      <w:start w:val="1"/>
      <w:numFmt w:val="lowerRoman"/>
      <w:lvlText w:val="%2."/>
      <w:lvlJc w:val="right"/>
      <w:pPr>
        <w:ind w:left="1919"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E7282C"/>
    <w:multiLevelType w:val="hybridMultilevel"/>
    <w:tmpl w:val="A6BCEC88"/>
    <w:lvl w:ilvl="0" w:tplc="AC84BD24">
      <w:start w:val="1"/>
      <w:numFmt w:val="bullet"/>
      <w:lvlText w:val=""/>
      <w:lvlJc w:val="left"/>
      <w:pPr>
        <w:ind w:left="1080" w:hanging="360"/>
      </w:pPr>
      <w:rPr>
        <w:rFonts w:ascii="Symbol" w:hAnsi="Symbol"/>
      </w:rPr>
    </w:lvl>
    <w:lvl w:ilvl="1" w:tplc="C7AA707A">
      <w:start w:val="1"/>
      <w:numFmt w:val="bullet"/>
      <w:lvlText w:val=""/>
      <w:lvlJc w:val="left"/>
      <w:pPr>
        <w:ind w:left="1080" w:hanging="360"/>
      </w:pPr>
      <w:rPr>
        <w:rFonts w:ascii="Symbol" w:hAnsi="Symbol"/>
      </w:rPr>
    </w:lvl>
    <w:lvl w:ilvl="2" w:tplc="821A852E">
      <w:start w:val="1"/>
      <w:numFmt w:val="bullet"/>
      <w:lvlText w:val=""/>
      <w:lvlJc w:val="left"/>
      <w:pPr>
        <w:ind w:left="1080" w:hanging="360"/>
      </w:pPr>
      <w:rPr>
        <w:rFonts w:ascii="Symbol" w:hAnsi="Symbol"/>
      </w:rPr>
    </w:lvl>
    <w:lvl w:ilvl="3" w:tplc="A7AE5D9C">
      <w:start w:val="1"/>
      <w:numFmt w:val="bullet"/>
      <w:lvlText w:val=""/>
      <w:lvlJc w:val="left"/>
      <w:pPr>
        <w:ind w:left="1080" w:hanging="360"/>
      </w:pPr>
      <w:rPr>
        <w:rFonts w:ascii="Symbol" w:hAnsi="Symbol"/>
      </w:rPr>
    </w:lvl>
    <w:lvl w:ilvl="4" w:tplc="B1A0CE48">
      <w:start w:val="1"/>
      <w:numFmt w:val="bullet"/>
      <w:lvlText w:val=""/>
      <w:lvlJc w:val="left"/>
      <w:pPr>
        <w:ind w:left="1080" w:hanging="360"/>
      </w:pPr>
      <w:rPr>
        <w:rFonts w:ascii="Symbol" w:hAnsi="Symbol"/>
      </w:rPr>
    </w:lvl>
    <w:lvl w:ilvl="5" w:tplc="428A2914">
      <w:start w:val="1"/>
      <w:numFmt w:val="bullet"/>
      <w:lvlText w:val=""/>
      <w:lvlJc w:val="left"/>
      <w:pPr>
        <w:ind w:left="1080" w:hanging="360"/>
      </w:pPr>
      <w:rPr>
        <w:rFonts w:ascii="Symbol" w:hAnsi="Symbol"/>
      </w:rPr>
    </w:lvl>
    <w:lvl w:ilvl="6" w:tplc="2E3E7A2E">
      <w:start w:val="1"/>
      <w:numFmt w:val="bullet"/>
      <w:lvlText w:val=""/>
      <w:lvlJc w:val="left"/>
      <w:pPr>
        <w:ind w:left="1080" w:hanging="360"/>
      </w:pPr>
      <w:rPr>
        <w:rFonts w:ascii="Symbol" w:hAnsi="Symbol"/>
      </w:rPr>
    </w:lvl>
    <w:lvl w:ilvl="7" w:tplc="95EE751E">
      <w:start w:val="1"/>
      <w:numFmt w:val="bullet"/>
      <w:lvlText w:val=""/>
      <w:lvlJc w:val="left"/>
      <w:pPr>
        <w:ind w:left="1080" w:hanging="360"/>
      </w:pPr>
      <w:rPr>
        <w:rFonts w:ascii="Symbol" w:hAnsi="Symbol"/>
      </w:rPr>
    </w:lvl>
    <w:lvl w:ilvl="8" w:tplc="93F83E46">
      <w:start w:val="1"/>
      <w:numFmt w:val="bullet"/>
      <w:lvlText w:val=""/>
      <w:lvlJc w:val="left"/>
      <w:pPr>
        <w:ind w:left="1080" w:hanging="360"/>
      </w:pPr>
      <w:rPr>
        <w:rFonts w:ascii="Symbol" w:hAnsi="Symbol"/>
      </w:rPr>
    </w:lvl>
  </w:abstractNum>
  <w:abstractNum w:abstractNumId="14" w15:restartNumberingAfterBreak="0">
    <w:nsid w:val="61787ADA"/>
    <w:multiLevelType w:val="hybridMultilevel"/>
    <w:tmpl w:val="7C4A8A10"/>
    <w:lvl w:ilvl="0" w:tplc="0C09001B">
      <w:start w:val="1"/>
      <w:numFmt w:val="lowerRoman"/>
      <w:lvlText w:val="%1."/>
      <w:lvlJc w:val="right"/>
      <w:pPr>
        <w:ind w:left="1506" w:hanging="360"/>
      </w:pPr>
    </w:lvl>
    <w:lvl w:ilvl="1" w:tplc="0C090019" w:tentative="1">
      <w:start w:val="1"/>
      <w:numFmt w:val="lowerLetter"/>
      <w:lvlText w:val="%2."/>
      <w:lvlJc w:val="left"/>
      <w:pPr>
        <w:ind w:left="2226" w:hanging="360"/>
      </w:pPr>
    </w:lvl>
    <w:lvl w:ilvl="2" w:tplc="0C09001B" w:tentative="1">
      <w:start w:val="1"/>
      <w:numFmt w:val="lowerRoman"/>
      <w:lvlText w:val="%3."/>
      <w:lvlJc w:val="right"/>
      <w:pPr>
        <w:ind w:left="2946" w:hanging="180"/>
      </w:pPr>
    </w:lvl>
    <w:lvl w:ilvl="3" w:tplc="0C09000F" w:tentative="1">
      <w:start w:val="1"/>
      <w:numFmt w:val="decimal"/>
      <w:lvlText w:val="%4."/>
      <w:lvlJc w:val="left"/>
      <w:pPr>
        <w:ind w:left="3666" w:hanging="360"/>
      </w:pPr>
    </w:lvl>
    <w:lvl w:ilvl="4" w:tplc="0C090019" w:tentative="1">
      <w:start w:val="1"/>
      <w:numFmt w:val="lowerLetter"/>
      <w:lvlText w:val="%5."/>
      <w:lvlJc w:val="left"/>
      <w:pPr>
        <w:ind w:left="4386" w:hanging="360"/>
      </w:pPr>
    </w:lvl>
    <w:lvl w:ilvl="5" w:tplc="0C09001B" w:tentative="1">
      <w:start w:val="1"/>
      <w:numFmt w:val="lowerRoman"/>
      <w:lvlText w:val="%6."/>
      <w:lvlJc w:val="right"/>
      <w:pPr>
        <w:ind w:left="5106" w:hanging="180"/>
      </w:pPr>
    </w:lvl>
    <w:lvl w:ilvl="6" w:tplc="0C09000F" w:tentative="1">
      <w:start w:val="1"/>
      <w:numFmt w:val="decimal"/>
      <w:lvlText w:val="%7."/>
      <w:lvlJc w:val="left"/>
      <w:pPr>
        <w:ind w:left="5826" w:hanging="360"/>
      </w:pPr>
    </w:lvl>
    <w:lvl w:ilvl="7" w:tplc="0C090019" w:tentative="1">
      <w:start w:val="1"/>
      <w:numFmt w:val="lowerLetter"/>
      <w:lvlText w:val="%8."/>
      <w:lvlJc w:val="left"/>
      <w:pPr>
        <w:ind w:left="6546" w:hanging="360"/>
      </w:pPr>
    </w:lvl>
    <w:lvl w:ilvl="8" w:tplc="0C09001B" w:tentative="1">
      <w:start w:val="1"/>
      <w:numFmt w:val="lowerRoman"/>
      <w:lvlText w:val="%9."/>
      <w:lvlJc w:val="right"/>
      <w:pPr>
        <w:ind w:left="7266" w:hanging="180"/>
      </w:pPr>
    </w:lvl>
  </w:abstractNum>
  <w:abstractNum w:abstractNumId="15" w15:restartNumberingAfterBreak="0">
    <w:nsid w:val="69D43E39"/>
    <w:multiLevelType w:val="hybridMultilevel"/>
    <w:tmpl w:val="0C1AC602"/>
    <w:lvl w:ilvl="0" w:tplc="0C09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919"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6A405BA4"/>
    <w:multiLevelType w:val="hybridMultilevel"/>
    <w:tmpl w:val="0BC26E5C"/>
    <w:lvl w:ilvl="0" w:tplc="0C09000F">
      <w:start w:val="1"/>
      <w:numFmt w:val="decimal"/>
      <w:lvlText w:val="%1."/>
      <w:lvlJc w:val="left"/>
      <w:pPr>
        <w:ind w:left="360" w:hanging="36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1767FEE"/>
    <w:multiLevelType w:val="hybridMultilevel"/>
    <w:tmpl w:val="169CE5BC"/>
    <w:lvl w:ilvl="0" w:tplc="0C09001B">
      <w:start w:val="1"/>
      <w:numFmt w:val="lowerRoman"/>
      <w:lvlText w:val="%1."/>
      <w:lvlJc w:val="right"/>
      <w:pPr>
        <w:ind w:left="720" w:hanging="360"/>
      </w:pPr>
      <w:rPr>
        <w:rFonts w:hint="default"/>
      </w:r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D6B5224"/>
    <w:multiLevelType w:val="multilevel"/>
    <w:tmpl w:val="1F3489EA"/>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62938207">
    <w:abstractNumId w:val="3"/>
  </w:num>
  <w:num w:numId="2" w16cid:durableId="96337980">
    <w:abstractNumId w:val="18"/>
  </w:num>
  <w:num w:numId="3" w16cid:durableId="1889341095">
    <w:abstractNumId w:val="10"/>
  </w:num>
  <w:num w:numId="4" w16cid:durableId="216212289">
    <w:abstractNumId w:val="12"/>
  </w:num>
  <w:num w:numId="5" w16cid:durableId="2008171716">
    <w:abstractNumId w:val="5"/>
  </w:num>
  <w:num w:numId="6" w16cid:durableId="1880582053">
    <w:abstractNumId w:val="0"/>
  </w:num>
  <w:num w:numId="7" w16cid:durableId="1278635914">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610306">
    <w:abstractNumId w:val="2"/>
  </w:num>
  <w:num w:numId="9" w16cid:durableId="690108307">
    <w:abstractNumId w:val="6"/>
  </w:num>
  <w:num w:numId="10" w16cid:durableId="1999920408">
    <w:abstractNumId w:val="1"/>
  </w:num>
  <w:num w:numId="11" w16cid:durableId="1744175857">
    <w:abstractNumId w:val="16"/>
  </w:num>
  <w:num w:numId="12" w16cid:durableId="1318218708">
    <w:abstractNumId w:val="9"/>
  </w:num>
  <w:num w:numId="13" w16cid:durableId="1317301331">
    <w:abstractNumId w:val="7"/>
  </w:num>
  <w:num w:numId="14" w16cid:durableId="890115336">
    <w:abstractNumId w:val="4"/>
  </w:num>
  <w:num w:numId="15" w16cid:durableId="2142067806">
    <w:abstractNumId w:val="14"/>
  </w:num>
  <w:num w:numId="16" w16cid:durableId="233131265">
    <w:abstractNumId w:val="11"/>
  </w:num>
  <w:num w:numId="17" w16cid:durableId="33968212">
    <w:abstractNumId w:val="8"/>
  </w:num>
  <w:num w:numId="18" w16cid:durableId="1637639641">
    <w:abstractNumId w:val="15"/>
  </w:num>
  <w:num w:numId="19" w16cid:durableId="1712920513">
    <w:abstractNumId w:val="17"/>
  </w:num>
  <w:num w:numId="20" w16cid:durableId="82844726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B6791A"/>
    <w:rsid w:val="00001829"/>
    <w:rsid w:val="00006084"/>
    <w:rsid w:val="00007190"/>
    <w:rsid w:val="00007577"/>
    <w:rsid w:val="00012803"/>
    <w:rsid w:val="00012E5D"/>
    <w:rsid w:val="00014A3A"/>
    <w:rsid w:val="00015E6F"/>
    <w:rsid w:val="00016670"/>
    <w:rsid w:val="00016B6C"/>
    <w:rsid w:val="0002151A"/>
    <w:rsid w:val="000217D4"/>
    <w:rsid w:val="00022B81"/>
    <w:rsid w:val="000236AD"/>
    <w:rsid w:val="00025539"/>
    <w:rsid w:val="00025808"/>
    <w:rsid w:val="00030A5A"/>
    <w:rsid w:val="000330EA"/>
    <w:rsid w:val="00033942"/>
    <w:rsid w:val="000344F1"/>
    <w:rsid w:val="00036AE0"/>
    <w:rsid w:val="00036E75"/>
    <w:rsid w:val="000421F9"/>
    <w:rsid w:val="00045C24"/>
    <w:rsid w:val="00045EEC"/>
    <w:rsid w:val="00053CF0"/>
    <w:rsid w:val="00060C76"/>
    <w:rsid w:val="0006205E"/>
    <w:rsid w:val="00063245"/>
    <w:rsid w:val="00063563"/>
    <w:rsid w:val="00063802"/>
    <w:rsid w:val="00067E65"/>
    <w:rsid w:val="000753CE"/>
    <w:rsid w:val="000756D5"/>
    <w:rsid w:val="00076059"/>
    <w:rsid w:val="000821FA"/>
    <w:rsid w:val="00087D77"/>
    <w:rsid w:val="00091426"/>
    <w:rsid w:val="00097BFC"/>
    <w:rsid w:val="000A3ABF"/>
    <w:rsid w:val="000A4D2D"/>
    <w:rsid w:val="000A71F1"/>
    <w:rsid w:val="000A7E7D"/>
    <w:rsid w:val="000B170B"/>
    <w:rsid w:val="000B1C4C"/>
    <w:rsid w:val="000B1EC3"/>
    <w:rsid w:val="000B200F"/>
    <w:rsid w:val="000B3C90"/>
    <w:rsid w:val="000B5040"/>
    <w:rsid w:val="000C00DB"/>
    <w:rsid w:val="000C02C9"/>
    <w:rsid w:val="000C2531"/>
    <w:rsid w:val="000C4749"/>
    <w:rsid w:val="000D079E"/>
    <w:rsid w:val="000D0B74"/>
    <w:rsid w:val="000D141B"/>
    <w:rsid w:val="000D2D66"/>
    <w:rsid w:val="000D33F2"/>
    <w:rsid w:val="000D7D2F"/>
    <w:rsid w:val="000D7EB9"/>
    <w:rsid w:val="000E2BDE"/>
    <w:rsid w:val="000E324C"/>
    <w:rsid w:val="000F07F4"/>
    <w:rsid w:val="000F2493"/>
    <w:rsid w:val="000F2562"/>
    <w:rsid w:val="000F2F2C"/>
    <w:rsid w:val="000F33C9"/>
    <w:rsid w:val="000F4691"/>
    <w:rsid w:val="000F6E9E"/>
    <w:rsid w:val="00102238"/>
    <w:rsid w:val="00105EBE"/>
    <w:rsid w:val="00110A86"/>
    <w:rsid w:val="00110FC5"/>
    <w:rsid w:val="001145FD"/>
    <w:rsid w:val="00115B2E"/>
    <w:rsid w:val="00115BCE"/>
    <w:rsid w:val="0011628E"/>
    <w:rsid w:val="00120355"/>
    <w:rsid w:val="00124114"/>
    <w:rsid w:val="001363E7"/>
    <w:rsid w:val="001372F8"/>
    <w:rsid w:val="001376CC"/>
    <w:rsid w:val="00140697"/>
    <w:rsid w:val="00141525"/>
    <w:rsid w:val="0014178A"/>
    <w:rsid w:val="001439F2"/>
    <w:rsid w:val="00144B84"/>
    <w:rsid w:val="00145912"/>
    <w:rsid w:val="001524E5"/>
    <w:rsid w:val="0015315E"/>
    <w:rsid w:val="001546C5"/>
    <w:rsid w:val="00155A86"/>
    <w:rsid w:val="0016074F"/>
    <w:rsid w:val="00160A49"/>
    <w:rsid w:val="00163BDC"/>
    <w:rsid w:val="00166387"/>
    <w:rsid w:val="00166A45"/>
    <w:rsid w:val="00167C83"/>
    <w:rsid w:val="00174954"/>
    <w:rsid w:val="001759A4"/>
    <w:rsid w:val="001761A0"/>
    <w:rsid w:val="001769BF"/>
    <w:rsid w:val="00182AB6"/>
    <w:rsid w:val="00182E9E"/>
    <w:rsid w:val="00183F40"/>
    <w:rsid w:val="0018447B"/>
    <w:rsid w:val="00184FBE"/>
    <w:rsid w:val="00190D7B"/>
    <w:rsid w:val="00192367"/>
    <w:rsid w:val="001929D8"/>
    <w:rsid w:val="00193F50"/>
    <w:rsid w:val="00195B87"/>
    <w:rsid w:val="00197414"/>
    <w:rsid w:val="001A0222"/>
    <w:rsid w:val="001A0B7A"/>
    <w:rsid w:val="001A1581"/>
    <w:rsid w:val="001A5155"/>
    <w:rsid w:val="001A5DCC"/>
    <w:rsid w:val="001B149E"/>
    <w:rsid w:val="001B2622"/>
    <w:rsid w:val="001B3A29"/>
    <w:rsid w:val="001B540E"/>
    <w:rsid w:val="001B5FBD"/>
    <w:rsid w:val="001B64D8"/>
    <w:rsid w:val="001C2C95"/>
    <w:rsid w:val="001C2EC9"/>
    <w:rsid w:val="001C5117"/>
    <w:rsid w:val="001C5537"/>
    <w:rsid w:val="001C6652"/>
    <w:rsid w:val="001C78AE"/>
    <w:rsid w:val="001D2A04"/>
    <w:rsid w:val="001D45A4"/>
    <w:rsid w:val="001E119E"/>
    <w:rsid w:val="001E1BC7"/>
    <w:rsid w:val="001E5623"/>
    <w:rsid w:val="001E6DC2"/>
    <w:rsid w:val="001E7840"/>
    <w:rsid w:val="001E7CF5"/>
    <w:rsid w:val="001F37E2"/>
    <w:rsid w:val="001F3AD4"/>
    <w:rsid w:val="001F50DA"/>
    <w:rsid w:val="00203245"/>
    <w:rsid w:val="00203FB5"/>
    <w:rsid w:val="00204CFA"/>
    <w:rsid w:val="00205F44"/>
    <w:rsid w:val="002105F8"/>
    <w:rsid w:val="00211260"/>
    <w:rsid w:val="00215EE7"/>
    <w:rsid w:val="00220C44"/>
    <w:rsid w:val="0022246A"/>
    <w:rsid w:val="00223D87"/>
    <w:rsid w:val="00224744"/>
    <w:rsid w:val="00224F4B"/>
    <w:rsid w:val="002268AB"/>
    <w:rsid w:val="00226F00"/>
    <w:rsid w:val="0022749C"/>
    <w:rsid w:val="00227968"/>
    <w:rsid w:val="00227C77"/>
    <w:rsid w:val="00233887"/>
    <w:rsid w:val="00233A88"/>
    <w:rsid w:val="00235F3F"/>
    <w:rsid w:val="002416B8"/>
    <w:rsid w:val="00241B9A"/>
    <w:rsid w:val="0024226F"/>
    <w:rsid w:val="00245342"/>
    <w:rsid w:val="002462BD"/>
    <w:rsid w:val="00246AC2"/>
    <w:rsid w:val="00247636"/>
    <w:rsid w:val="00250B62"/>
    <w:rsid w:val="00253391"/>
    <w:rsid w:val="0025638A"/>
    <w:rsid w:val="00256A5C"/>
    <w:rsid w:val="00260712"/>
    <w:rsid w:val="00263339"/>
    <w:rsid w:val="00265F74"/>
    <w:rsid w:val="002678D6"/>
    <w:rsid w:val="00270002"/>
    <w:rsid w:val="00271041"/>
    <w:rsid w:val="00271B13"/>
    <w:rsid w:val="00276B35"/>
    <w:rsid w:val="00280639"/>
    <w:rsid w:val="002809F6"/>
    <w:rsid w:val="00280D94"/>
    <w:rsid w:val="00283303"/>
    <w:rsid w:val="00284D0F"/>
    <w:rsid w:val="00286FE7"/>
    <w:rsid w:val="00287CC7"/>
    <w:rsid w:val="00287F32"/>
    <w:rsid w:val="0029134D"/>
    <w:rsid w:val="00294358"/>
    <w:rsid w:val="002964CB"/>
    <w:rsid w:val="00296D1E"/>
    <w:rsid w:val="002978C8"/>
    <w:rsid w:val="002A0A77"/>
    <w:rsid w:val="002A0B32"/>
    <w:rsid w:val="002A4B83"/>
    <w:rsid w:val="002A6430"/>
    <w:rsid w:val="002A79C5"/>
    <w:rsid w:val="002B6DA8"/>
    <w:rsid w:val="002B7ED3"/>
    <w:rsid w:val="002C26D9"/>
    <w:rsid w:val="002C3B9D"/>
    <w:rsid w:val="002C3E4A"/>
    <w:rsid w:val="002D49D1"/>
    <w:rsid w:val="002D6E3F"/>
    <w:rsid w:val="002E18BF"/>
    <w:rsid w:val="002E48DD"/>
    <w:rsid w:val="002E4D27"/>
    <w:rsid w:val="002E68F8"/>
    <w:rsid w:val="002E6A56"/>
    <w:rsid w:val="002E7A8A"/>
    <w:rsid w:val="002F0390"/>
    <w:rsid w:val="002F0A3D"/>
    <w:rsid w:val="002F1567"/>
    <w:rsid w:val="002F329A"/>
    <w:rsid w:val="002F417B"/>
    <w:rsid w:val="002F6ADC"/>
    <w:rsid w:val="002F6BDF"/>
    <w:rsid w:val="00300C95"/>
    <w:rsid w:val="00300FBD"/>
    <w:rsid w:val="00304475"/>
    <w:rsid w:val="003054A8"/>
    <w:rsid w:val="00306770"/>
    <w:rsid w:val="00307DA3"/>
    <w:rsid w:val="00311A60"/>
    <w:rsid w:val="003129F3"/>
    <w:rsid w:val="00313B67"/>
    <w:rsid w:val="003146F7"/>
    <w:rsid w:val="00317304"/>
    <w:rsid w:val="00320F8F"/>
    <w:rsid w:val="00321300"/>
    <w:rsid w:val="00321F63"/>
    <w:rsid w:val="0032451D"/>
    <w:rsid w:val="00327D31"/>
    <w:rsid w:val="00330427"/>
    <w:rsid w:val="003305CA"/>
    <w:rsid w:val="003404A4"/>
    <w:rsid w:val="0034064A"/>
    <w:rsid w:val="0034178B"/>
    <w:rsid w:val="003418D5"/>
    <w:rsid w:val="00341E62"/>
    <w:rsid w:val="003442B0"/>
    <w:rsid w:val="00344DA1"/>
    <w:rsid w:val="0034564D"/>
    <w:rsid w:val="00351879"/>
    <w:rsid w:val="00353390"/>
    <w:rsid w:val="00354A04"/>
    <w:rsid w:val="00357842"/>
    <w:rsid w:val="003606A9"/>
    <w:rsid w:val="00362FB3"/>
    <w:rsid w:val="00363BBF"/>
    <w:rsid w:val="00365B17"/>
    <w:rsid w:val="00366287"/>
    <w:rsid w:val="003714BD"/>
    <w:rsid w:val="00371948"/>
    <w:rsid w:val="00372703"/>
    <w:rsid w:val="00372AC1"/>
    <w:rsid w:val="00376C86"/>
    <w:rsid w:val="00377854"/>
    <w:rsid w:val="003802F4"/>
    <w:rsid w:val="003819A5"/>
    <w:rsid w:val="003824C9"/>
    <w:rsid w:val="003831AB"/>
    <w:rsid w:val="0038367F"/>
    <w:rsid w:val="00385B89"/>
    <w:rsid w:val="00386246"/>
    <w:rsid w:val="0039066F"/>
    <w:rsid w:val="00390C06"/>
    <w:rsid w:val="00391111"/>
    <w:rsid w:val="00393939"/>
    <w:rsid w:val="0039455D"/>
    <w:rsid w:val="00394617"/>
    <w:rsid w:val="003A02B0"/>
    <w:rsid w:val="003A099A"/>
    <w:rsid w:val="003A56E3"/>
    <w:rsid w:val="003A63D1"/>
    <w:rsid w:val="003B0E96"/>
    <w:rsid w:val="003B1315"/>
    <w:rsid w:val="003B7B41"/>
    <w:rsid w:val="003B7DC9"/>
    <w:rsid w:val="003C047D"/>
    <w:rsid w:val="003C0AB8"/>
    <w:rsid w:val="003C0E29"/>
    <w:rsid w:val="003C433C"/>
    <w:rsid w:val="003C4673"/>
    <w:rsid w:val="003C4B27"/>
    <w:rsid w:val="003C4F86"/>
    <w:rsid w:val="003C789B"/>
    <w:rsid w:val="003C7FD7"/>
    <w:rsid w:val="003D0129"/>
    <w:rsid w:val="003D077F"/>
    <w:rsid w:val="003D0E02"/>
    <w:rsid w:val="003D4240"/>
    <w:rsid w:val="003D6205"/>
    <w:rsid w:val="003E01BE"/>
    <w:rsid w:val="003E181C"/>
    <w:rsid w:val="003E26C5"/>
    <w:rsid w:val="003E3290"/>
    <w:rsid w:val="003E61BA"/>
    <w:rsid w:val="003E772A"/>
    <w:rsid w:val="003F1554"/>
    <w:rsid w:val="003F171F"/>
    <w:rsid w:val="003F1FDF"/>
    <w:rsid w:val="003F2E2F"/>
    <w:rsid w:val="003F424B"/>
    <w:rsid w:val="003F4845"/>
    <w:rsid w:val="003F77FB"/>
    <w:rsid w:val="004037A7"/>
    <w:rsid w:val="00406296"/>
    <w:rsid w:val="00407777"/>
    <w:rsid w:val="00410F09"/>
    <w:rsid w:val="004135F9"/>
    <w:rsid w:val="00416B6D"/>
    <w:rsid w:val="00417191"/>
    <w:rsid w:val="00417761"/>
    <w:rsid w:val="00421264"/>
    <w:rsid w:val="00424976"/>
    <w:rsid w:val="00425E05"/>
    <w:rsid w:val="0043076F"/>
    <w:rsid w:val="004311FF"/>
    <w:rsid w:val="004326F6"/>
    <w:rsid w:val="004328FF"/>
    <w:rsid w:val="00433613"/>
    <w:rsid w:val="00433CA2"/>
    <w:rsid w:val="00435E3E"/>
    <w:rsid w:val="004364D2"/>
    <w:rsid w:val="00441448"/>
    <w:rsid w:val="00442C7E"/>
    <w:rsid w:val="004506D0"/>
    <w:rsid w:val="00450CCE"/>
    <w:rsid w:val="00450D8D"/>
    <w:rsid w:val="004518D3"/>
    <w:rsid w:val="004542B7"/>
    <w:rsid w:val="004546DC"/>
    <w:rsid w:val="00454DA6"/>
    <w:rsid w:val="00455C71"/>
    <w:rsid w:val="00457D9E"/>
    <w:rsid w:val="00463D4E"/>
    <w:rsid w:val="00470BA0"/>
    <w:rsid w:val="0047507F"/>
    <w:rsid w:val="00475AFD"/>
    <w:rsid w:val="00475DCB"/>
    <w:rsid w:val="00475EC5"/>
    <w:rsid w:val="00475EDB"/>
    <w:rsid w:val="0047646F"/>
    <w:rsid w:val="00477439"/>
    <w:rsid w:val="004828E0"/>
    <w:rsid w:val="00483FE7"/>
    <w:rsid w:val="00485A3D"/>
    <w:rsid w:val="00485C95"/>
    <w:rsid w:val="0048664D"/>
    <w:rsid w:val="00486B7C"/>
    <w:rsid w:val="00487F7B"/>
    <w:rsid w:val="00490C62"/>
    <w:rsid w:val="00492574"/>
    <w:rsid w:val="00496135"/>
    <w:rsid w:val="0049673E"/>
    <w:rsid w:val="00496B73"/>
    <w:rsid w:val="00496C34"/>
    <w:rsid w:val="00496CFE"/>
    <w:rsid w:val="004A288B"/>
    <w:rsid w:val="004A296B"/>
    <w:rsid w:val="004A2AFD"/>
    <w:rsid w:val="004A2F73"/>
    <w:rsid w:val="004A37EA"/>
    <w:rsid w:val="004A4413"/>
    <w:rsid w:val="004A4424"/>
    <w:rsid w:val="004A46E4"/>
    <w:rsid w:val="004A683A"/>
    <w:rsid w:val="004B0130"/>
    <w:rsid w:val="004B08DC"/>
    <w:rsid w:val="004B11ED"/>
    <w:rsid w:val="004B1F82"/>
    <w:rsid w:val="004B2529"/>
    <w:rsid w:val="004B39F7"/>
    <w:rsid w:val="004B56B0"/>
    <w:rsid w:val="004C0B90"/>
    <w:rsid w:val="004C2DAD"/>
    <w:rsid w:val="004C3993"/>
    <w:rsid w:val="004C4F62"/>
    <w:rsid w:val="004C5917"/>
    <w:rsid w:val="004C5E48"/>
    <w:rsid w:val="004D023E"/>
    <w:rsid w:val="004D0778"/>
    <w:rsid w:val="004D103E"/>
    <w:rsid w:val="004D12A9"/>
    <w:rsid w:val="004D155B"/>
    <w:rsid w:val="004D2A46"/>
    <w:rsid w:val="004D3434"/>
    <w:rsid w:val="004D75F6"/>
    <w:rsid w:val="004E13BC"/>
    <w:rsid w:val="004E424B"/>
    <w:rsid w:val="004E4611"/>
    <w:rsid w:val="004E47C0"/>
    <w:rsid w:val="004E5A9C"/>
    <w:rsid w:val="004E71FE"/>
    <w:rsid w:val="004F085E"/>
    <w:rsid w:val="004F24D0"/>
    <w:rsid w:val="004F326C"/>
    <w:rsid w:val="004F3826"/>
    <w:rsid w:val="004F5AE8"/>
    <w:rsid w:val="00501CE7"/>
    <w:rsid w:val="00501D00"/>
    <w:rsid w:val="00502248"/>
    <w:rsid w:val="00502E0B"/>
    <w:rsid w:val="00502E10"/>
    <w:rsid w:val="00503E46"/>
    <w:rsid w:val="00504820"/>
    <w:rsid w:val="00505009"/>
    <w:rsid w:val="005063E7"/>
    <w:rsid w:val="00506BF4"/>
    <w:rsid w:val="00507097"/>
    <w:rsid w:val="00510513"/>
    <w:rsid w:val="00511EEE"/>
    <w:rsid w:val="0051226E"/>
    <w:rsid w:val="00513E0A"/>
    <w:rsid w:val="00514C02"/>
    <w:rsid w:val="0051600D"/>
    <w:rsid w:val="00516B4D"/>
    <w:rsid w:val="00516FB2"/>
    <w:rsid w:val="00517192"/>
    <w:rsid w:val="0051721E"/>
    <w:rsid w:val="00517D8D"/>
    <w:rsid w:val="00522BB7"/>
    <w:rsid w:val="00524DCE"/>
    <w:rsid w:val="00525050"/>
    <w:rsid w:val="00525BF3"/>
    <w:rsid w:val="00527BD8"/>
    <w:rsid w:val="0053091B"/>
    <w:rsid w:val="0053110F"/>
    <w:rsid w:val="00533FEF"/>
    <w:rsid w:val="0053463A"/>
    <w:rsid w:val="00535C81"/>
    <w:rsid w:val="00542001"/>
    <w:rsid w:val="00546D8E"/>
    <w:rsid w:val="00546FDD"/>
    <w:rsid w:val="00550A5B"/>
    <w:rsid w:val="00551340"/>
    <w:rsid w:val="00553012"/>
    <w:rsid w:val="00553DFF"/>
    <w:rsid w:val="0055704A"/>
    <w:rsid w:val="005606FD"/>
    <w:rsid w:val="00560C6A"/>
    <w:rsid w:val="0056452B"/>
    <w:rsid w:val="00565A52"/>
    <w:rsid w:val="00566941"/>
    <w:rsid w:val="00566AD8"/>
    <w:rsid w:val="005677EC"/>
    <w:rsid w:val="00570503"/>
    <w:rsid w:val="00570B86"/>
    <w:rsid w:val="005732EB"/>
    <w:rsid w:val="00573EBC"/>
    <w:rsid w:val="0057594A"/>
    <w:rsid w:val="00575DAF"/>
    <w:rsid w:val="0057697D"/>
    <w:rsid w:val="00577365"/>
    <w:rsid w:val="005803BF"/>
    <w:rsid w:val="00580DED"/>
    <w:rsid w:val="00581EB8"/>
    <w:rsid w:val="00582FAD"/>
    <w:rsid w:val="00585F7E"/>
    <w:rsid w:val="00591204"/>
    <w:rsid w:val="00591DF5"/>
    <w:rsid w:val="00592C9D"/>
    <w:rsid w:val="005949C7"/>
    <w:rsid w:val="00594ABF"/>
    <w:rsid w:val="005A08F3"/>
    <w:rsid w:val="005A11E6"/>
    <w:rsid w:val="005A2484"/>
    <w:rsid w:val="005A2A2F"/>
    <w:rsid w:val="005A343A"/>
    <w:rsid w:val="005A4F85"/>
    <w:rsid w:val="005A5F87"/>
    <w:rsid w:val="005A646A"/>
    <w:rsid w:val="005A6A61"/>
    <w:rsid w:val="005A7F3C"/>
    <w:rsid w:val="005B0968"/>
    <w:rsid w:val="005B150D"/>
    <w:rsid w:val="005B207E"/>
    <w:rsid w:val="005B2484"/>
    <w:rsid w:val="005B2523"/>
    <w:rsid w:val="005B3871"/>
    <w:rsid w:val="005B659D"/>
    <w:rsid w:val="005B6B98"/>
    <w:rsid w:val="005C1326"/>
    <w:rsid w:val="005C3527"/>
    <w:rsid w:val="005C4B02"/>
    <w:rsid w:val="005C51CA"/>
    <w:rsid w:val="005D01B1"/>
    <w:rsid w:val="005D1865"/>
    <w:rsid w:val="005D2886"/>
    <w:rsid w:val="005E08F9"/>
    <w:rsid w:val="005E27A9"/>
    <w:rsid w:val="005E62D6"/>
    <w:rsid w:val="005F0FBF"/>
    <w:rsid w:val="005F2879"/>
    <w:rsid w:val="005F596C"/>
    <w:rsid w:val="005F5C87"/>
    <w:rsid w:val="005F73B5"/>
    <w:rsid w:val="006014A0"/>
    <w:rsid w:val="00603706"/>
    <w:rsid w:val="006063A2"/>
    <w:rsid w:val="00613191"/>
    <w:rsid w:val="0061377D"/>
    <w:rsid w:val="00614971"/>
    <w:rsid w:val="00615DD3"/>
    <w:rsid w:val="0061763A"/>
    <w:rsid w:val="0062096B"/>
    <w:rsid w:val="0062369E"/>
    <w:rsid w:val="00623BCF"/>
    <w:rsid w:val="00624BAB"/>
    <w:rsid w:val="00625374"/>
    <w:rsid w:val="00627218"/>
    <w:rsid w:val="006308A6"/>
    <w:rsid w:val="00631089"/>
    <w:rsid w:val="00633123"/>
    <w:rsid w:val="006355D1"/>
    <w:rsid w:val="00635DD4"/>
    <w:rsid w:val="00637692"/>
    <w:rsid w:val="006419F1"/>
    <w:rsid w:val="00643747"/>
    <w:rsid w:val="0064692A"/>
    <w:rsid w:val="00646E47"/>
    <w:rsid w:val="0064704A"/>
    <w:rsid w:val="0065176D"/>
    <w:rsid w:val="006545C3"/>
    <w:rsid w:val="0065517A"/>
    <w:rsid w:val="00663F29"/>
    <w:rsid w:val="00663F6C"/>
    <w:rsid w:val="00664390"/>
    <w:rsid w:val="0066700A"/>
    <w:rsid w:val="00667337"/>
    <w:rsid w:val="00667582"/>
    <w:rsid w:val="00667C21"/>
    <w:rsid w:val="0067400F"/>
    <w:rsid w:val="00681B9D"/>
    <w:rsid w:val="006838E4"/>
    <w:rsid w:val="00684713"/>
    <w:rsid w:val="006861CD"/>
    <w:rsid w:val="006916AD"/>
    <w:rsid w:val="00694B4F"/>
    <w:rsid w:val="00696683"/>
    <w:rsid w:val="006A00A6"/>
    <w:rsid w:val="006A118D"/>
    <w:rsid w:val="006A1747"/>
    <w:rsid w:val="006A3972"/>
    <w:rsid w:val="006A61AF"/>
    <w:rsid w:val="006A712D"/>
    <w:rsid w:val="006B0F69"/>
    <w:rsid w:val="006B29A7"/>
    <w:rsid w:val="006B3374"/>
    <w:rsid w:val="006C2621"/>
    <w:rsid w:val="006C346D"/>
    <w:rsid w:val="006C7177"/>
    <w:rsid w:val="006C723F"/>
    <w:rsid w:val="006C7349"/>
    <w:rsid w:val="006D1B90"/>
    <w:rsid w:val="006D264B"/>
    <w:rsid w:val="006D27A6"/>
    <w:rsid w:val="006D2910"/>
    <w:rsid w:val="006D3396"/>
    <w:rsid w:val="006D3EE7"/>
    <w:rsid w:val="006D53D6"/>
    <w:rsid w:val="006D6960"/>
    <w:rsid w:val="006D7793"/>
    <w:rsid w:val="006E0126"/>
    <w:rsid w:val="006E01AE"/>
    <w:rsid w:val="006E0EEB"/>
    <w:rsid w:val="006E101D"/>
    <w:rsid w:val="006E230C"/>
    <w:rsid w:val="006E24D9"/>
    <w:rsid w:val="006E6C18"/>
    <w:rsid w:val="006E6F8C"/>
    <w:rsid w:val="006E76BE"/>
    <w:rsid w:val="006E7DAB"/>
    <w:rsid w:val="006F0918"/>
    <w:rsid w:val="006F21BC"/>
    <w:rsid w:val="006F2729"/>
    <w:rsid w:val="006F2839"/>
    <w:rsid w:val="006F3A99"/>
    <w:rsid w:val="006F56A2"/>
    <w:rsid w:val="006F6511"/>
    <w:rsid w:val="006F6E04"/>
    <w:rsid w:val="00700270"/>
    <w:rsid w:val="00701A03"/>
    <w:rsid w:val="00705AD6"/>
    <w:rsid w:val="00711CE0"/>
    <w:rsid w:val="00712563"/>
    <w:rsid w:val="00717216"/>
    <w:rsid w:val="00722F56"/>
    <w:rsid w:val="0072629A"/>
    <w:rsid w:val="007279DB"/>
    <w:rsid w:val="00732B00"/>
    <w:rsid w:val="00733166"/>
    <w:rsid w:val="007331E2"/>
    <w:rsid w:val="00733765"/>
    <w:rsid w:val="007343B8"/>
    <w:rsid w:val="00735623"/>
    <w:rsid w:val="00736715"/>
    <w:rsid w:val="00743D35"/>
    <w:rsid w:val="00746E7F"/>
    <w:rsid w:val="00752C8B"/>
    <w:rsid w:val="007600FA"/>
    <w:rsid w:val="0076093D"/>
    <w:rsid w:val="00760D40"/>
    <w:rsid w:val="0076131C"/>
    <w:rsid w:val="00761DA0"/>
    <w:rsid w:val="00761F7B"/>
    <w:rsid w:val="007622D7"/>
    <w:rsid w:val="0076303B"/>
    <w:rsid w:val="00763297"/>
    <w:rsid w:val="00766784"/>
    <w:rsid w:val="00767C0B"/>
    <w:rsid w:val="0077171A"/>
    <w:rsid w:val="00774D22"/>
    <w:rsid w:val="00775F8E"/>
    <w:rsid w:val="00776EA1"/>
    <w:rsid w:val="007825F2"/>
    <w:rsid w:val="00782F22"/>
    <w:rsid w:val="00784A3C"/>
    <w:rsid w:val="00785AAF"/>
    <w:rsid w:val="0079177E"/>
    <w:rsid w:val="00793BD7"/>
    <w:rsid w:val="0079466D"/>
    <w:rsid w:val="007A3D5A"/>
    <w:rsid w:val="007A4195"/>
    <w:rsid w:val="007A6E4D"/>
    <w:rsid w:val="007A7BA5"/>
    <w:rsid w:val="007A7DE4"/>
    <w:rsid w:val="007B075D"/>
    <w:rsid w:val="007B6953"/>
    <w:rsid w:val="007B7784"/>
    <w:rsid w:val="007C0C72"/>
    <w:rsid w:val="007C1094"/>
    <w:rsid w:val="007C123D"/>
    <w:rsid w:val="007C2D4C"/>
    <w:rsid w:val="007C3CD0"/>
    <w:rsid w:val="007C5CBC"/>
    <w:rsid w:val="007D0D5E"/>
    <w:rsid w:val="007D4EB7"/>
    <w:rsid w:val="007D6F47"/>
    <w:rsid w:val="007D7D1C"/>
    <w:rsid w:val="007E013D"/>
    <w:rsid w:val="007E0975"/>
    <w:rsid w:val="007E36E4"/>
    <w:rsid w:val="007E5E07"/>
    <w:rsid w:val="007E623C"/>
    <w:rsid w:val="007E7046"/>
    <w:rsid w:val="007E76CE"/>
    <w:rsid w:val="007F2E83"/>
    <w:rsid w:val="007F3CF9"/>
    <w:rsid w:val="007F53C0"/>
    <w:rsid w:val="007F61E3"/>
    <w:rsid w:val="007F7BBC"/>
    <w:rsid w:val="00800FE0"/>
    <w:rsid w:val="00803DBE"/>
    <w:rsid w:val="00806BF8"/>
    <w:rsid w:val="00810298"/>
    <w:rsid w:val="00810F83"/>
    <w:rsid w:val="008112DE"/>
    <w:rsid w:val="008139FB"/>
    <w:rsid w:val="00815C0D"/>
    <w:rsid w:val="00815F76"/>
    <w:rsid w:val="0081654F"/>
    <w:rsid w:val="0081667A"/>
    <w:rsid w:val="00816895"/>
    <w:rsid w:val="00821379"/>
    <w:rsid w:val="008214D7"/>
    <w:rsid w:val="008218C3"/>
    <w:rsid w:val="00824845"/>
    <w:rsid w:val="00825EAB"/>
    <w:rsid w:val="0082773A"/>
    <w:rsid w:val="00827F41"/>
    <w:rsid w:val="00830CC4"/>
    <w:rsid w:val="00831D8A"/>
    <w:rsid w:val="00834DD2"/>
    <w:rsid w:val="00836E6B"/>
    <w:rsid w:val="00840C8A"/>
    <w:rsid w:val="00843901"/>
    <w:rsid w:val="008445C9"/>
    <w:rsid w:val="00847719"/>
    <w:rsid w:val="008516B9"/>
    <w:rsid w:val="008538B3"/>
    <w:rsid w:val="00854847"/>
    <w:rsid w:val="00856E84"/>
    <w:rsid w:val="008616B9"/>
    <w:rsid w:val="00863EB7"/>
    <w:rsid w:val="00865B65"/>
    <w:rsid w:val="008667E8"/>
    <w:rsid w:val="00877998"/>
    <w:rsid w:val="0088159C"/>
    <w:rsid w:val="0088211A"/>
    <w:rsid w:val="0088242F"/>
    <w:rsid w:val="00883AA4"/>
    <w:rsid w:val="00883AA6"/>
    <w:rsid w:val="00884F56"/>
    <w:rsid w:val="008854F6"/>
    <w:rsid w:val="00886667"/>
    <w:rsid w:val="00886BC4"/>
    <w:rsid w:val="008876C5"/>
    <w:rsid w:val="008878FD"/>
    <w:rsid w:val="00890A28"/>
    <w:rsid w:val="00890A44"/>
    <w:rsid w:val="00890AD9"/>
    <w:rsid w:val="00890F6B"/>
    <w:rsid w:val="00891887"/>
    <w:rsid w:val="00893461"/>
    <w:rsid w:val="00893F56"/>
    <w:rsid w:val="008972E4"/>
    <w:rsid w:val="008A02F3"/>
    <w:rsid w:val="008A06F1"/>
    <w:rsid w:val="008A1C1D"/>
    <w:rsid w:val="008A1EA6"/>
    <w:rsid w:val="008A2390"/>
    <w:rsid w:val="008A321F"/>
    <w:rsid w:val="008A4031"/>
    <w:rsid w:val="008A48CA"/>
    <w:rsid w:val="008A67B1"/>
    <w:rsid w:val="008B0DB2"/>
    <w:rsid w:val="008B1555"/>
    <w:rsid w:val="008B2938"/>
    <w:rsid w:val="008B395C"/>
    <w:rsid w:val="008B3B84"/>
    <w:rsid w:val="008B66A8"/>
    <w:rsid w:val="008C0C7A"/>
    <w:rsid w:val="008C45CF"/>
    <w:rsid w:val="008C4D7C"/>
    <w:rsid w:val="008C56C1"/>
    <w:rsid w:val="008C574A"/>
    <w:rsid w:val="008C5773"/>
    <w:rsid w:val="008D0CA6"/>
    <w:rsid w:val="008D3C51"/>
    <w:rsid w:val="008D4CD0"/>
    <w:rsid w:val="008D5358"/>
    <w:rsid w:val="008D54C6"/>
    <w:rsid w:val="008D7740"/>
    <w:rsid w:val="008E014E"/>
    <w:rsid w:val="008E0180"/>
    <w:rsid w:val="008E04BD"/>
    <w:rsid w:val="008E2794"/>
    <w:rsid w:val="008E35A5"/>
    <w:rsid w:val="008E48D1"/>
    <w:rsid w:val="008E4FC4"/>
    <w:rsid w:val="008E75B8"/>
    <w:rsid w:val="008E7DF5"/>
    <w:rsid w:val="008F0B15"/>
    <w:rsid w:val="008F1AA6"/>
    <w:rsid w:val="008F2212"/>
    <w:rsid w:val="008F73C8"/>
    <w:rsid w:val="008F7E69"/>
    <w:rsid w:val="00900D5C"/>
    <w:rsid w:val="009023BD"/>
    <w:rsid w:val="00903786"/>
    <w:rsid w:val="00903AB2"/>
    <w:rsid w:val="00904760"/>
    <w:rsid w:val="00904A57"/>
    <w:rsid w:val="00905F29"/>
    <w:rsid w:val="0090719E"/>
    <w:rsid w:val="009109AA"/>
    <w:rsid w:val="00911CF1"/>
    <w:rsid w:val="009140C4"/>
    <w:rsid w:val="009209A1"/>
    <w:rsid w:val="00921309"/>
    <w:rsid w:val="0092338A"/>
    <w:rsid w:val="00923FB5"/>
    <w:rsid w:val="00925902"/>
    <w:rsid w:val="00925951"/>
    <w:rsid w:val="00926879"/>
    <w:rsid w:val="00926993"/>
    <w:rsid w:val="00933C8C"/>
    <w:rsid w:val="009367F6"/>
    <w:rsid w:val="0093741D"/>
    <w:rsid w:val="00941F97"/>
    <w:rsid w:val="00942CB3"/>
    <w:rsid w:val="00943BB8"/>
    <w:rsid w:val="00944174"/>
    <w:rsid w:val="00944D5B"/>
    <w:rsid w:val="009450EA"/>
    <w:rsid w:val="00950049"/>
    <w:rsid w:val="0095045C"/>
    <w:rsid w:val="00950E3A"/>
    <w:rsid w:val="00951652"/>
    <w:rsid w:val="00952F2F"/>
    <w:rsid w:val="0095607D"/>
    <w:rsid w:val="0095754A"/>
    <w:rsid w:val="00964399"/>
    <w:rsid w:val="00965C4B"/>
    <w:rsid w:val="009713DB"/>
    <w:rsid w:val="00972B19"/>
    <w:rsid w:val="009740E2"/>
    <w:rsid w:val="009743BC"/>
    <w:rsid w:val="00974DB6"/>
    <w:rsid w:val="009750EE"/>
    <w:rsid w:val="009751E8"/>
    <w:rsid w:val="009757BB"/>
    <w:rsid w:val="00975C67"/>
    <w:rsid w:val="00976D69"/>
    <w:rsid w:val="00976E71"/>
    <w:rsid w:val="009774D8"/>
    <w:rsid w:val="0098151F"/>
    <w:rsid w:val="00983945"/>
    <w:rsid w:val="00986A46"/>
    <w:rsid w:val="009877AB"/>
    <w:rsid w:val="009905E8"/>
    <w:rsid w:val="009906A6"/>
    <w:rsid w:val="00992ADC"/>
    <w:rsid w:val="009939FE"/>
    <w:rsid w:val="00996D0A"/>
    <w:rsid w:val="009974F8"/>
    <w:rsid w:val="009A6D32"/>
    <w:rsid w:val="009A71C4"/>
    <w:rsid w:val="009B04E2"/>
    <w:rsid w:val="009B1502"/>
    <w:rsid w:val="009B15EC"/>
    <w:rsid w:val="009B1781"/>
    <w:rsid w:val="009B17BC"/>
    <w:rsid w:val="009B2546"/>
    <w:rsid w:val="009B3F65"/>
    <w:rsid w:val="009B464D"/>
    <w:rsid w:val="009C1EA9"/>
    <w:rsid w:val="009C1F90"/>
    <w:rsid w:val="009C25AB"/>
    <w:rsid w:val="009C2C06"/>
    <w:rsid w:val="009C4703"/>
    <w:rsid w:val="009C522F"/>
    <w:rsid w:val="009C66A3"/>
    <w:rsid w:val="009C6EF8"/>
    <w:rsid w:val="009D0D0E"/>
    <w:rsid w:val="009D173E"/>
    <w:rsid w:val="009D176D"/>
    <w:rsid w:val="009D18C1"/>
    <w:rsid w:val="009D3157"/>
    <w:rsid w:val="009D616A"/>
    <w:rsid w:val="009D7474"/>
    <w:rsid w:val="009E151D"/>
    <w:rsid w:val="009E37E9"/>
    <w:rsid w:val="009E4EB1"/>
    <w:rsid w:val="009E6061"/>
    <w:rsid w:val="009E70A3"/>
    <w:rsid w:val="009E745F"/>
    <w:rsid w:val="009E7D8F"/>
    <w:rsid w:val="009F116A"/>
    <w:rsid w:val="009F16BF"/>
    <w:rsid w:val="009F2FE8"/>
    <w:rsid w:val="009F3001"/>
    <w:rsid w:val="009F44FD"/>
    <w:rsid w:val="009F4F1F"/>
    <w:rsid w:val="009F54CC"/>
    <w:rsid w:val="009F6568"/>
    <w:rsid w:val="00A01086"/>
    <w:rsid w:val="00A0462B"/>
    <w:rsid w:val="00A053B0"/>
    <w:rsid w:val="00A05E57"/>
    <w:rsid w:val="00A0724C"/>
    <w:rsid w:val="00A10B7C"/>
    <w:rsid w:val="00A1120D"/>
    <w:rsid w:val="00A1206B"/>
    <w:rsid w:val="00A13CB3"/>
    <w:rsid w:val="00A13F0D"/>
    <w:rsid w:val="00A14E14"/>
    <w:rsid w:val="00A15DB7"/>
    <w:rsid w:val="00A17503"/>
    <w:rsid w:val="00A17FF8"/>
    <w:rsid w:val="00A209BE"/>
    <w:rsid w:val="00A215B3"/>
    <w:rsid w:val="00A22F04"/>
    <w:rsid w:val="00A24D20"/>
    <w:rsid w:val="00A25A72"/>
    <w:rsid w:val="00A315E7"/>
    <w:rsid w:val="00A32C4E"/>
    <w:rsid w:val="00A32F29"/>
    <w:rsid w:val="00A339A9"/>
    <w:rsid w:val="00A3452B"/>
    <w:rsid w:val="00A36814"/>
    <w:rsid w:val="00A36858"/>
    <w:rsid w:val="00A36FBF"/>
    <w:rsid w:val="00A40EAB"/>
    <w:rsid w:val="00A41228"/>
    <w:rsid w:val="00A42071"/>
    <w:rsid w:val="00A44CF0"/>
    <w:rsid w:val="00A46A9A"/>
    <w:rsid w:val="00A47D83"/>
    <w:rsid w:val="00A50111"/>
    <w:rsid w:val="00A50B1A"/>
    <w:rsid w:val="00A51419"/>
    <w:rsid w:val="00A528C5"/>
    <w:rsid w:val="00A52C22"/>
    <w:rsid w:val="00A55BF0"/>
    <w:rsid w:val="00A60022"/>
    <w:rsid w:val="00A62A2C"/>
    <w:rsid w:val="00A63E8B"/>
    <w:rsid w:val="00A6514E"/>
    <w:rsid w:val="00A71CAE"/>
    <w:rsid w:val="00A721FA"/>
    <w:rsid w:val="00A736F1"/>
    <w:rsid w:val="00A73C07"/>
    <w:rsid w:val="00A76635"/>
    <w:rsid w:val="00A80389"/>
    <w:rsid w:val="00A81BF5"/>
    <w:rsid w:val="00A81CF6"/>
    <w:rsid w:val="00A81F90"/>
    <w:rsid w:val="00A82A24"/>
    <w:rsid w:val="00A83156"/>
    <w:rsid w:val="00A8449C"/>
    <w:rsid w:val="00A84C3C"/>
    <w:rsid w:val="00A87F4B"/>
    <w:rsid w:val="00A909A3"/>
    <w:rsid w:val="00A91BD2"/>
    <w:rsid w:val="00A940BE"/>
    <w:rsid w:val="00A96316"/>
    <w:rsid w:val="00A9658A"/>
    <w:rsid w:val="00A970ED"/>
    <w:rsid w:val="00AA553F"/>
    <w:rsid w:val="00AA6093"/>
    <w:rsid w:val="00AB1984"/>
    <w:rsid w:val="00AB1BBE"/>
    <w:rsid w:val="00AB29E5"/>
    <w:rsid w:val="00AB3D33"/>
    <w:rsid w:val="00AB5CA5"/>
    <w:rsid w:val="00AB6F34"/>
    <w:rsid w:val="00AC1B27"/>
    <w:rsid w:val="00AC3783"/>
    <w:rsid w:val="00AC4C62"/>
    <w:rsid w:val="00AC60D4"/>
    <w:rsid w:val="00AC78B2"/>
    <w:rsid w:val="00AD46EF"/>
    <w:rsid w:val="00AD7B49"/>
    <w:rsid w:val="00AE121B"/>
    <w:rsid w:val="00AE2829"/>
    <w:rsid w:val="00AE29D5"/>
    <w:rsid w:val="00AE39EE"/>
    <w:rsid w:val="00AE53E5"/>
    <w:rsid w:val="00AE6BC9"/>
    <w:rsid w:val="00AE7C7E"/>
    <w:rsid w:val="00AF794C"/>
    <w:rsid w:val="00B041B8"/>
    <w:rsid w:val="00B052E4"/>
    <w:rsid w:val="00B1052D"/>
    <w:rsid w:val="00B11AF3"/>
    <w:rsid w:val="00B129C3"/>
    <w:rsid w:val="00B132F7"/>
    <w:rsid w:val="00B13AE7"/>
    <w:rsid w:val="00B145A9"/>
    <w:rsid w:val="00B14D8B"/>
    <w:rsid w:val="00B15B56"/>
    <w:rsid w:val="00B16E19"/>
    <w:rsid w:val="00B22B1D"/>
    <w:rsid w:val="00B2335D"/>
    <w:rsid w:val="00B24451"/>
    <w:rsid w:val="00B24C1C"/>
    <w:rsid w:val="00B25804"/>
    <w:rsid w:val="00B26491"/>
    <w:rsid w:val="00B276E4"/>
    <w:rsid w:val="00B31A57"/>
    <w:rsid w:val="00B3259B"/>
    <w:rsid w:val="00B32614"/>
    <w:rsid w:val="00B32830"/>
    <w:rsid w:val="00B3678E"/>
    <w:rsid w:val="00B41472"/>
    <w:rsid w:val="00B42FAF"/>
    <w:rsid w:val="00B44640"/>
    <w:rsid w:val="00B459C8"/>
    <w:rsid w:val="00B47A9E"/>
    <w:rsid w:val="00B50FEA"/>
    <w:rsid w:val="00B51175"/>
    <w:rsid w:val="00B5397C"/>
    <w:rsid w:val="00B54FA9"/>
    <w:rsid w:val="00B55DE9"/>
    <w:rsid w:val="00B5788C"/>
    <w:rsid w:val="00B57B0B"/>
    <w:rsid w:val="00B61366"/>
    <w:rsid w:val="00B64308"/>
    <w:rsid w:val="00B65C98"/>
    <w:rsid w:val="00B6791A"/>
    <w:rsid w:val="00B71F74"/>
    <w:rsid w:val="00B73C23"/>
    <w:rsid w:val="00B771FF"/>
    <w:rsid w:val="00B77326"/>
    <w:rsid w:val="00B77B5B"/>
    <w:rsid w:val="00B80D4B"/>
    <w:rsid w:val="00B82C45"/>
    <w:rsid w:val="00B90DF4"/>
    <w:rsid w:val="00B911FC"/>
    <w:rsid w:val="00BA054F"/>
    <w:rsid w:val="00BA123B"/>
    <w:rsid w:val="00BA1E58"/>
    <w:rsid w:val="00BA3721"/>
    <w:rsid w:val="00BA7802"/>
    <w:rsid w:val="00BA7D9D"/>
    <w:rsid w:val="00BB059B"/>
    <w:rsid w:val="00BB3B01"/>
    <w:rsid w:val="00BB4B21"/>
    <w:rsid w:val="00BB54FB"/>
    <w:rsid w:val="00BC2298"/>
    <w:rsid w:val="00BC3604"/>
    <w:rsid w:val="00BD138C"/>
    <w:rsid w:val="00BD1640"/>
    <w:rsid w:val="00BD2518"/>
    <w:rsid w:val="00BD2EA1"/>
    <w:rsid w:val="00BD3C26"/>
    <w:rsid w:val="00BD4AB5"/>
    <w:rsid w:val="00BD7EA0"/>
    <w:rsid w:val="00BD7FA5"/>
    <w:rsid w:val="00BE04F5"/>
    <w:rsid w:val="00BE1B2E"/>
    <w:rsid w:val="00BE2210"/>
    <w:rsid w:val="00BE5AAA"/>
    <w:rsid w:val="00BE5AC7"/>
    <w:rsid w:val="00BE6F28"/>
    <w:rsid w:val="00BF2796"/>
    <w:rsid w:val="00BF3E58"/>
    <w:rsid w:val="00BF4A8E"/>
    <w:rsid w:val="00BF73E4"/>
    <w:rsid w:val="00BF75D8"/>
    <w:rsid w:val="00BF7D62"/>
    <w:rsid w:val="00C029A9"/>
    <w:rsid w:val="00C05A1E"/>
    <w:rsid w:val="00C0628D"/>
    <w:rsid w:val="00C0721A"/>
    <w:rsid w:val="00C12C0F"/>
    <w:rsid w:val="00C12D43"/>
    <w:rsid w:val="00C12D4C"/>
    <w:rsid w:val="00C14840"/>
    <w:rsid w:val="00C15260"/>
    <w:rsid w:val="00C20679"/>
    <w:rsid w:val="00C23C8C"/>
    <w:rsid w:val="00C3042D"/>
    <w:rsid w:val="00C30535"/>
    <w:rsid w:val="00C31FCB"/>
    <w:rsid w:val="00C33E10"/>
    <w:rsid w:val="00C343A1"/>
    <w:rsid w:val="00C362B7"/>
    <w:rsid w:val="00C3693F"/>
    <w:rsid w:val="00C37A6A"/>
    <w:rsid w:val="00C37B26"/>
    <w:rsid w:val="00C4084F"/>
    <w:rsid w:val="00C4167A"/>
    <w:rsid w:val="00C436B8"/>
    <w:rsid w:val="00C443D7"/>
    <w:rsid w:val="00C44B78"/>
    <w:rsid w:val="00C4615D"/>
    <w:rsid w:val="00C46608"/>
    <w:rsid w:val="00C5049F"/>
    <w:rsid w:val="00C52CAE"/>
    <w:rsid w:val="00C5365B"/>
    <w:rsid w:val="00C57E84"/>
    <w:rsid w:val="00C620FD"/>
    <w:rsid w:val="00C62826"/>
    <w:rsid w:val="00C639E4"/>
    <w:rsid w:val="00C6491E"/>
    <w:rsid w:val="00C71CED"/>
    <w:rsid w:val="00C73283"/>
    <w:rsid w:val="00C74274"/>
    <w:rsid w:val="00C74D3F"/>
    <w:rsid w:val="00C768D8"/>
    <w:rsid w:val="00C778C6"/>
    <w:rsid w:val="00C8067D"/>
    <w:rsid w:val="00C80C62"/>
    <w:rsid w:val="00C82A8A"/>
    <w:rsid w:val="00C8634C"/>
    <w:rsid w:val="00C87964"/>
    <w:rsid w:val="00C938D8"/>
    <w:rsid w:val="00C94241"/>
    <w:rsid w:val="00C962FF"/>
    <w:rsid w:val="00C9737D"/>
    <w:rsid w:val="00C97897"/>
    <w:rsid w:val="00C97CE8"/>
    <w:rsid w:val="00CA0EBA"/>
    <w:rsid w:val="00CA168B"/>
    <w:rsid w:val="00CA3970"/>
    <w:rsid w:val="00CA4694"/>
    <w:rsid w:val="00CA50A1"/>
    <w:rsid w:val="00CA68A9"/>
    <w:rsid w:val="00CA74EE"/>
    <w:rsid w:val="00CA7D3D"/>
    <w:rsid w:val="00CB032B"/>
    <w:rsid w:val="00CB0554"/>
    <w:rsid w:val="00CB18AC"/>
    <w:rsid w:val="00CB4EAC"/>
    <w:rsid w:val="00CB547D"/>
    <w:rsid w:val="00CC1136"/>
    <w:rsid w:val="00CC5606"/>
    <w:rsid w:val="00CC5E1F"/>
    <w:rsid w:val="00CC6EBD"/>
    <w:rsid w:val="00CD02A5"/>
    <w:rsid w:val="00CD1A5E"/>
    <w:rsid w:val="00CD2F47"/>
    <w:rsid w:val="00CD55B3"/>
    <w:rsid w:val="00CD5609"/>
    <w:rsid w:val="00CD69A3"/>
    <w:rsid w:val="00CD7F0B"/>
    <w:rsid w:val="00CE0E84"/>
    <w:rsid w:val="00CE407F"/>
    <w:rsid w:val="00CE6685"/>
    <w:rsid w:val="00CE6D60"/>
    <w:rsid w:val="00CF1EA3"/>
    <w:rsid w:val="00CF5641"/>
    <w:rsid w:val="00CF5A2D"/>
    <w:rsid w:val="00CF5B8B"/>
    <w:rsid w:val="00CF641D"/>
    <w:rsid w:val="00CF6C2F"/>
    <w:rsid w:val="00D044DC"/>
    <w:rsid w:val="00D05A02"/>
    <w:rsid w:val="00D05D19"/>
    <w:rsid w:val="00D064EF"/>
    <w:rsid w:val="00D0712B"/>
    <w:rsid w:val="00D07176"/>
    <w:rsid w:val="00D0725D"/>
    <w:rsid w:val="00D0735E"/>
    <w:rsid w:val="00D11F38"/>
    <w:rsid w:val="00D11F49"/>
    <w:rsid w:val="00D12725"/>
    <w:rsid w:val="00D128CA"/>
    <w:rsid w:val="00D1325D"/>
    <w:rsid w:val="00D133FB"/>
    <w:rsid w:val="00D13496"/>
    <w:rsid w:val="00D17467"/>
    <w:rsid w:val="00D2150F"/>
    <w:rsid w:val="00D215DF"/>
    <w:rsid w:val="00D276E1"/>
    <w:rsid w:val="00D32F5D"/>
    <w:rsid w:val="00D33E3B"/>
    <w:rsid w:val="00D40B85"/>
    <w:rsid w:val="00D4179B"/>
    <w:rsid w:val="00D42565"/>
    <w:rsid w:val="00D42D93"/>
    <w:rsid w:val="00D50CAE"/>
    <w:rsid w:val="00D535AC"/>
    <w:rsid w:val="00D555C7"/>
    <w:rsid w:val="00D56329"/>
    <w:rsid w:val="00D566F4"/>
    <w:rsid w:val="00D56AD4"/>
    <w:rsid w:val="00D60855"/>
    <w:rsid w:val="00D60AEE"/>
    <w:rsid w:val="00D6133E"/>
    <w:rsid w:val="00D621F5"/>
    <w:rsid w:val="00D62F8E"/>
    <w:rsid w:val="00D6318F"/>
    <w:rsid w:val="00D63E3C"/>
    <w:rsid w:val="00D65CCD"/>
    <w:rsid w:val="00D66FA5"/>
    <w:rsid w:val="00D72990"/>
    <w:rsid w:val="00D7300E"/>
    <w:rsid w:val="00D816F4"/>
    <w:rsid w:val="00D81F86"/>
    <w:rsid w:val="00D846A1"/>
    <w:rsid w:val="00D9056F"/>
    <w:rsid w:val="00D91DC9"/>
    <w:rsid w:val="00D92896"/>
    <w:rsid w:val="00DA55C9"/>
    <w:rsid w:val="00DB0F24"/>
    <w:rsid w:val="00DB18EE"/>
    <w:rsid w:val="00DB294E"/>
    <w:rsid w:val="00DB3079"/>
    <w:rsid w:val="00DB483C"/>
    <w:rsid w:val="00DC075C"/>
    <w:rsid w:val="00DC132E"/>
    <w:rsid w:val="00DC34F6"/>
    <w:rsid w:val="00DC5A35"/>
    <w:rsid w:val="00DC5E53"/>
    <w:rsid w:val="00DC62B9"/>
    <w:rsid w:val="00DC6FBB"/>
    <w:rsid w:val="00DD0A90"/>
    <w:rsid w:val="00DD5D38"/>
    <w:rsid w:val="00DE002E"/>
    <w:rsid w:val="00DE05FE"/>
    <w:rsid w:val="00DE2FF5"/>
    <w:rsid w:val="00DE47FD"/>
    <w:rsid w:val="00DE5EE8"/>
    <w:rsid w:val="00DE74EC"/>
    <w:rsid w:val="00DF0B01"/>
    <w:rsid w:val="00DF2F1E"/>
    <w:rsid w:val="00DF3745"/>
    <w:rsid w:val="00DF5271"/>
    <w:rsid w:val="00DF56B6"/>
    <w:rsid w:val="00DF5A46"/>
    <w:rsid w:val="00E01291"/>
    <w:rsid w:val="00E02A22"/>
    <w:rsid w:val="00E03326"/>
    <w:rsid w:val="00E10B5B"/>
    <w:rsid w:val="00E11105"/>
    <w:rsid w:val="00E11CB6"/>
    <w:rsid w:val="00E12E8C"/>
    <w:rsid w:val="00E14EF8"/>
    <w:rsid w:val="00E1603E"/>
    <w:rsid w:val="00E16939"/>
    <w:rsid w:val="00E16D09"/>
    <w:rsid w:val="00E17184"/>
    <w:rsid w:val="00E1766A"/>
    <w:rsid w:val="00E21759"/>
    <w:rsid w:val="00E223A0"/>
    <w:rsid w:val="00E23C09"/>
    <w:rsid w:val="00E267E6"/>
    <w:rsid w:val="00E34501"/>
    <w:rsid w:val="00E34FA7"/>
    <w:rsid w:val="00E35B8F"/>
    <w:rsid w:val="00E37D34"/>
    <w:rsid w:val="00E40078"/>
    <w:rsid w:val="00E401B4"/>
    <w:rsid w:val="00E4352E"/>
    <w:rsid w:val="00E4461B"/>
    <w:rsid w:val="00E4520C"/>
    <w:rsid w:val="00E459A2"/>
    <w:rsid w:val="00E45A27"/>
    <w:rsid w:val="00E51502"/>
    <w:rsid w:val="00E5388B"/>
    <w:rsid w:val="00E53B8B"/>
    <w:rsid w:val="00E570FA"/>
    <w:rsid w:val="00E6276B"/>
    <w:rsid w:val="00E62B01"/>
    <w:rsid w:val="00E634BF"/>
    <w:rsid w:val="00E64B67"/>
    <w:rsid w:val="00E653E4"/>
    <w:rsid w:val="00E669CD"/>
    <w:rsid w:val="00E6784E"/>
    <w:rsid w:val="00E7027A"/>
    <w:rsid w:val="00E70A2C"/>
    <w:rsid w:val="00E74012"/>
    <w:rsid w:val="00E813BB"/>
    <w:rsid w:val="00E81A92"/>
    <w:rsid w:val="00E83A1D"/>
    <w:rsid w:val="00E847A7"/>
    <w:rsid w:val="00E84F30"/>
    <w:rsid w:val="00E85A1E"/>
    <w:rsid w:val="00E85FF2"/>
    <w:rsid w:val="00E86175"/>
    <w:rsid w:val="00E86CBA"/>
    <w:rsid w:val="00E90E39"/>
    <w:rsid w:val="00E92B29"/>
    <w:rsid w:val="00E934BC"/>
    <w:rsid w:val="00E93C25"/>
    <w:rsid w:val="00E9465D"/>
    <w:rsid w:val="00EA46E5"/>
    <w:rsid w:val="00EA5D8D"/>
    <w:rsid w:val="00EB1557"/>
    <w:rsid w:val="00EB19AA"/>
    <w:rsid w:val="00EB2AAA"/>
    <w:rsid w:val="00EB2DCF"/>
    <w:rsid w:val="00EB6842"/>
    <w:rsid w:val="00EB7FC7"/>
    <w:rsid w:val="00EC050F"/>
    <w:rsid w:val="00EC2A56"/>
    <w:rsid w:val="00EC4413"/>
    <w:rsid w:val="00ED30D2"/>
    <w:rsid w:val="00ED3522"/>
    <w:rsid w:val="00ED5994"/>
    <w:rsid w:val="00EE570F"/>
    <w:rsid w:val="00EE5F89"/>
    <w:rsid w:val="00EE5FBC"/>
    <w:rsid w:val="00EF08F2"/>
    <w:rsid w:val="00EF11F4"/>
    <w:rsid w:val="00EF1B2D"/>
    <w:rsid w:val="00EF388F"/>
    <w:rsid w:val="00EF58A8"/>
    <w:rsid w:val="00EF78D2"/>
    <w:rsid w:val="00F004D7"/>
    <w:rsid w:val="00F0196A"/>
    <w:rsid w:val="00F040B1"/>
    <w:rsid w:val="00F04F16"/>
    <w:rsid w:val="00F061E3"/>
    <w:rsid w:val="00F07B2D"/>
    <w:rsid w:val="00F12565"/>
    <w:rsid w:val="00F16733"/>
    <w:rsid w:val="00F172EE"/>
    <w:rsid w:val="00F178C2"/>
    <w:rsid w:val="00F22B2F"/>
    <w:rsid w:val="00F22FC2"/>
    <w:rsid w:val="00F248B6"/>
    <w:rsid w:val="00F31637"/>
    <w:rsid w:val="00F31F89"/>
    <w:rsid w:val="00F330C1"/>
    <w:rsid w:val="00F3346C"/>
    <w:rsid w:val="00F335E6"/>
    <w:rsid w:val="00F33B9F"/>
    <w:rsid w:val="00F35175"/>
    <w:rsid w:val="00F35D18"/>
    <w:rsid w:val="00F35F8F"/>
    <w:rsid w:val="00F36CA0"/>
    <w:rsid w:val="00F37546"/>
    <w:rsid w:val="00F3768D"/>
    <w:rsid w:val="00F41932"/>
    <w:rsid w:val="00F443EE"/>
    <w:rsid w:val="00F44C22"/>
    <w:rsid w:val="00F4789A"/>
    <w:rsid w:val="00F50AAC"/>
    <w:rsid w:val="00F51C00"/>
    <w:rsid w:val="00F51FDE"/>
    <w:rsid w:val="00F535FC"/>
    <w:rsid w:val="00F539F9"/>
    <w:rsid w:val="00F574D9"/>
    <w:rsid w:val="00F57590"/>
    <w:rsid w:val="00F60303"/>
    <w:rsid w:val="00F61364"/>
    <w:rsid w:val="00F614C4"/>
    <w:rsid w:val="00F61E2F"/>
    <w:rsid w:val="00F63604"/>
    <w:rsid w:val="00F66504"/>
    <w:rsid w:val="00F70CBD"/>
    <w:rsid w:val="00F716F0"/>
    <w:rsid w:val="00F71CA5"/>
    <w:rsid w:val="00F7256C"/>
    <w:rsid w:val="00F72A39"/>
    <w:rsid w:val="00F75A59"/>
    <w:rsid w:val="00F75C66"/>
    <w:rsid w:val="00F7650A"/>
    <w:rsid w:val="00F8238E"/>
    <w:rsid w:val="00F83C53"/>
    <w:rsid w:val="00F8445A"/>
    <w:rsid w:val="00F90901"/>
    <w:rsid w:val="00F91FA6"/>
    <w:rsid w:val="00F95A42"/>
    <w:rsid w:val="00F95DDF"/>
    <w:rsid w:val="00F96108"/>
    <w:rsid w:val="00F967F2"/>
    <w:rsid w:val="00FA1377"/>
    <w:rsid w:val="00FA2839"/>
    <w:rsid w:val="00FA4D64"/>
    <w:rsid w:val="00FA70A7"/>
    <w:rsid w:val="00FA77E8"/>
    <w:rsid w:val="00FA7F37"/>
    <w:rsid w:val="00FB3DE9"/>
    <w:rsid w:val="00FB4ECB"/>
    <w:rsid w:val="00FB5337"/>
    <w:rsid w:val="00FB7AEB"/>
    <w:rsid w:val="00FC00F1"/>
    <w:rsid w:val="00FC07D3"/>
    <w:rsid w:val="00FC2874"/>
    <w:rsid w:val="00FC2E34"/>
    <w:rsid w:val="00FC37DF"/>
    <w:rsid w:val="00FC5BDD"/>
    <w:rsid w:val="00FC77C8"/>
    <w:rsid w:val="00FD06DF"/>
    <w:rsid w:val="00FD0B4D"/>
    <w:rsid w:val="00FD19B5"/>
    <w:rsid w:val="00FD2C3D"/>
    <w:rsid w:val="00FD421D"/>
    <w:rsid w:val="00FD48F7"/>
    <w:rsid w:val="00FD4BB2"/>
    <w:rsid w:val="00FD50B4"/>
    <w:rsid w:val="00FE316C"/>
    <w:rsid w:val="00FE4272"/>
    <w:rsid w:val="00FF1545"/>
    <w:rsid w:val="00FF4459"/>
    <w:rsid w:val="00FF4C83"/>
    <w:rsid w:val="00FF4F4D"/>
    <w:rsid w:val="03DE9439"/>
    <w:rsid w:val="0604D598"/>
    <w:rsid w:val="072B2967"/>
    <w:rsid w:val="08EFD2B8"/>
    <w:rsid w:val="0C555B90"/>
    <w:rsid w:val="11C0DCEC"/>
    <w:rsid w:val="12BE94EA"/>
    <w:rsid w:val="1460202C"/>
    <w:rsid w:val="1860217F"/>
    <w:rsid w:val="1C03DF45"/>
    <w:rsid w:val="25B08EC7"/>
    <w:rsid w:val="26055D50"/>
    <w:rsid w:val="287C5040"/>
    <w:rsid w:val="29579477"/>
    <w:rsid w:val="2D7DD32B"/>
    <w:rsid w:val="30853244"/>
    <w:rsid w:val="30C53CDC"/>
    <w:rsid w:val="30CA2F8F"/>
    <w:rsid w:val="345E458E"/>
    <w:rsid w:val="350AB02B"/>
    <w:rsid w:val="3A88B60F"/>
    <w:rsid w:val="3A9BD3ED"/>
    <w:rsid w:val="3AE5DD05"/>
    <w:rsid w:val="3CD068FC"/>
    <w:rsid w:val="4169F35B"/>
    <w:rsid w:val="455A73A6"/>
    <w:rsid w:val="470F5D16"/>
    <w:rsid w:val="492FDD47"/>
    <w:rsid w:val="4F6A44AA"/>
    <w:rsid w:val="5A0396C9"/>
    <w:rsid w:val="5FA05ADF"/>
    <w:rsid w:val="6BC6F488"/>
    <w:rsid w:val="6EFC1512"/>
    <w:rsid w:val="715FF548"/>
    <w:rsid w:val="7864CAA4"/>
    <w:rsid w:val="7A3AF464"/>
    <w:rsid w:val="7CA414AF"/>
    <w:rsid w:val="7E90F8B7"/>
    <w:rsid w:val="7F388FB2"/>
    <w:rsid w:val="7FEBA7F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5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qFormat/>
    <w:rsid w:val="00AE53E5"/>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qFormat/>
    <w:rsid w:val="00AE53E5"/>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1315"/>
    <w:pPr>
      <w:jc w:val="right"/>
    </w:pPr>
  </w:style>
  <w:style w:type="character" w:customStyle="1" w:styleId="HeaderChar">
    <w:name w:val="Header Char"/>
    <w:basedOn w:val="DefaultParagraphFont"/>
    <w:link w:val="Header"/>
    <w:rsid w:val="003B1315"/>
    <w:rPr>
      <w:rFonts w:ascii="Calibri Light" w:eastAsia="Times New Roman" w:hAnsi="Calibri Light"/>
      <w:sz w:val="22"/>
      <w:lang w:eastAsia="en-AU"/>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3B1315"/>
    <w:pPr>
      <w:spacing w:after="600"/>
      <w:outlineLvl w:val="0"/>
    </w:pPr>
    <w:rPr>
      <w:rFonts w:ascii="Calibri" w:hAnsi="Calibri"/>
      <w:color w:val="2C384A" w:themeColor="accent1"/>
      <w:spacing w:val="-14"/>
      <w:sz w:val="68"/>
      <w:szCs w:val="68"/>
    </w:rPr>
  </w:style>
  <w:style w:type="character" w:customStyle="1" w:styleId="Heading1Char">
    <w:name w:val="Heading 1 Char"/>
    <w:basedOn w:val="DefaultParagraphFont"/>
    <w:link w:val="Heading1"/>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BA123B"/>
    <w:pPr>
      <w:numPr>
        <w:ilvl w:val="1"/>
        <w:numId w:val="9"/>
      </w:numPr>
      <w:tabs>
        <w:tab w:val="clear" w:pos="567"/>
      </w:tabs>
      <w:spacing w:before="0"/>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9"/>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rsid w:val="00AE53E5"/>
    <w:rPr>
      <w:rFonts w:ascii="Calibri Light" w:eastAsia="Times New Roman" w:hAnsi="Calibri Light" w:cs="Arial"/>
      <w:color w:val="4D7861" w:themeColor="accent2"/>
      <w:kern w:val="32"/>
      <w:sz w:val="24"/>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basedOn w:val="Normal"/>
    <w:link w:val="BulletChar"/>
    <w:qFormat/>
    <w:rsid w:val="00BA123B"/>
    <w:pPr>
      <w:numPr>
        <w:numId w:val="7"/>
      </w:numPr>
      <w:tabs>
        <w:tab w:val="clear" w:pos="520"/>
      </w:tabs>
      <w:spacing w:before="0" w:line="276" w:lineRule="auto"/>
      <w:ind w:left="170" w:hanging="170"/>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rsid w:val="008F0B15"/>
    <w:rPr>
      <w:vertAlign w:val="superscript"/>
    </w:rPr>
  </w:style>
  <w:style w:type="paragraph" w:styleId="FootnoteText">
    <w:name w:val="footnote text"/>
    <w:basedOn w:val="Normal"/>
    <w:link w:val="FootnoteTextChar"/>
    <w:rsid w:val="008F0B15"/>
    <w:pPr>
      <w:spacing w:after="0"/>
    </w:pPr>
    <w:rPr>
      <w:sz w:val="20"/>
    </w:rPr>
  </w:style>
  <w:style w:type="character" w:customStyle="1" w:styleId="FootnoteTextChar">
    <w:name w:val="Footnote Text Char"/>
    <w:basedOn w:val="DefaultParagraphFont"/>
    <w:link w:val="FootnoteText"/>
    <w:rsid w:val="008F0B15"/>
    <w:rPr>
      <w:rFonts w:ascii="Times New Roman" w:eastAsia="Times New Roman" w:hAnsi="Times New Roman"/>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8F0B15"/>
    <w:pPr>
      <w:ind w:left="720"/>
      <w:contextualSpacing/>
    </w:pPr>
  </w:style>
  <w:style w:type="character" w:customStyle="1" w:styleId="ListParagraphChar">
    <w:name w:val="List Paragraph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rsid w:val="008F0B15"/>
    <w:pPr>
      <w:spacing w:before="100" w:beforeAutospacing="1" w:after="100" w:afterAutospacing="1"/>
    </w:p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table" w:customStyle="1" w:styleId="BlueBox">
    <w:name w:val="Blue Box"/>
    <w:basedOn w:val="TableNormal"/>
    <w:uiPriority w:val="99"/>
    <w:rsid w:val="00E813BB"/>
    <w:tblPr>
      <w:tblCellMar>
        <w:top w:w="227" w:type="dxa"/>
        <w:left w:w="227" w:type="dxa"/>
        <w:bottom w:w="227" w:type="dxa"/>
        <w:right w:w="227" w:type="dxa"/>
      </w:tblCellMar>
    </w:tblPr>
    <w:tcPr>
      <w:shd w:val="clear" w:color="auto" w:fill="F2F9FC"/>
    </w:tcPr>
  </w:style>
  <w:style w:type="paragraph" w:customStyle="1" w:styleId="OutlineNumbered1">
    <w:name w:val="Outline Numbered 1"/>
    <w:basedOn w:val="Normal"/>
    <w:link w:val="OutlineNumbered1Char"/>
    <w:rsid w:val="009C4703"/>
    <w:pPr>
      <w:numPr>
        <w:numId w:val="10"/>
      </w:numPr>
    </w:pPr>
  </w:style>
  <w:style w:type="character" w:customStyle="1" w:styleId="OutlineNumbered1Char">
    <w:name w:val="Outline Numbered 1 Char"/>
    <w:basedOn w:val="BulletChar"/>
    <w:link w:val="OutlineNumbered1"/>
    <w:rsid w:val="009C4703"/>
    <w:rPr>
      <w:rFonts w:ascii="Calibri Light" w:eastAsia="Times New Roman" w:hAnsi="Calibri Light"/>
      <w:sz w:val="22"/>
      <w:lang w:eastAsia="en-AU"/>
    </w:rPr>
  </w:style>
  <w:style w:type="paragraph" w:customStyle="1" w:styleId="OutlineNumbered2">
    <w:name w:val="Outline Numbered 2"/>
    <w:basedOn w:val="Normal"/>
    <w:link w:val="OutlineNumbered2Char"/>
    <w:rsid w:val="009C4703"/>
    <w:pPr>
      <w:numPr>
        <w:ilvl w:val="1"/>
        <w:numId w:val="10"/>
      </w:numPr>
    </w:pPr>
  </w:style>
  <w:style w:type="character" w:customStyle="1" w:styleId="OutlineNumbered2Char">
    <w:name w:val="Outline Numbered 2 Char"/>
    <w:basedOn w:val="BulletChar"/>
    <w:link w:val="OutlineNumbered2"/>
    <w:rsid w:val="009C4703"/>
    <w:rPr>
      <w:rFonts w:ascii="Calibri Light" w:eastAsia="Times New Roman" w:hAnsi="Calibri Light"/>
      <w:sz w:val="22"/>
      <w:lang w:eastAsia="en-AU"/>
    </w:rPr>
  </w:style>
  <w:style w:type="paragraph" w:customStyle="1" w:styleId="OutlineNumbered3">
    <w:name w:val="Outline Numbered 3"/>
    <w:basedOn w:val="Normal"/>
    <w:link w:val="OutlineNumbered3Char"/>
    <w:rsid w:val="009C4703"/>
    <w:pPr>
      <w:numPr>
        <w:ilvl w:val="2"/>
        <w:numId w:val="10"/>
      </w:numPr>
    </w:pPr>
  </w:style>
  <w:style w:type="character" w:customStyle="1" w:styleId="OutlineNumbered3Char">
    <w:name w:val="Outline Numbered 3 Char"/>
    <w:basedOn w:val="BulletChar"/>
    <w:link w:val="OutlineNumbered3"/>
    <w:rsid w:val="009C4703"/>
    <w:rPr>
      <w:rFonts w:ascii="Calibri Light" w:eastAsia="Times New Roman" w:hAnsi="Calibri Light"/>
      <w:sz w:val="22"/>
      <w:lang w:eastAsia="en-AU"/>
    </w:rPr>
  </w:style>
  <w:style w:type="character" w:styleId="CommentReference">
    <w:name w:val="annotation reference"/>
    <w:basedOn w:val="DefaultParagraphFont"/>
    <w:semiHidden/>
    <w:unhideWhenUsed/>
    <w:rsid w:val="00517192"/>
    <w:rPr>
      <w:sz w:val="16"/>
      <w:szCs w:val="16"/>
    </w:rPr>
  </w:style>
  <w:style w:type="paragraph" w:styleId="CommentText">
    <w:name w:val="annotation text"/>
    <w:basedOn w:val="Normal"/>
    <w:link w:val="CommentTextChar"/>
    <w:unhideWhenUsed/>
    <w:rsid w:val="00517192"/>
    <w:rPr>
      <w:sz w:val="20"/>
    </w:rPr>
  </w:style>
  <w:style w:type="character" w:customStyle="1" w:styleId="CommentTextChar">
    <w:name w:val="Comment Text Char"/>
    <w:basedOn w:val="DefaultParagraphFont"/>
    <w:link w:val="CommentText"/>
    <w:rsid w:val="00517192"/>
    <w:rPr>
      <w:rFonts w:ascii="Calibri Light" w:eastAsia="Times New Roman" w:hAnsi="Calibri Light"/>
      <w:lang w:eastAsia="en-AU"/>
    </w:rPr>
  </w:style>
  <w:style w:type="paragraph" w:styleId="CommentSubject">
    <w:name w:val="annotation subject"/>
    <w:basedOn w:val="CommentText"/>
    <w:next w:val="CommentText"/>
    <w:link w:val="CommentSubjectChar"/>
    <w:semiHidden/>
    <w:unhideWhenUsed/>
    <w:rsid w:val="00517192"/>
    <w:rPr>
      <w:b/>
      <w:bCs/>
    </w:rPr>
  </w:style>
  <w:style w:type="character" w:customStyle="1" w:styleId="CommentSubjectChar">
    <w:name w:val="Comment Subject Char"/>
    <w:basedOn w:val="CommentTextChar"/>
    <w:link w:val="CommentSubject"/>
    <w:semiHidden/>
    <w:rsid w:val="00517192"/>
    <w:rPr>
      <w:rFonts w:ascii="Calibri Light" w:eastAsia="Times New Roman" w:hAnsi="Calibri Light"/>
      <w:b/>
      <w:bCs/>
      <w:lang w:eastAsia="en-AU"/>
    </w:rPr>
  </w:style>
  <w:style w:type="character" w:styleId="Mention">
    <w:name w:val="Mention"/>
    <w:basedOn w:val="DefaultParagraphFont"/>
    <w:uiPriority w:val="99"/>
    <w:unhideWhenUsed/>
    <w:rsid w:val="005A4F85"/>
    <w:rPr>
      <w:color w:val="2B579A"/>
      <w:shd w:val="clear" w:color="auto" w:fill="E1DFDD"/>
    </w:rPr>
  </w:style>
  <w:style w:type="character" w:styleId="UnresolvedMention">
    <w:name w:val="Unresolved Mention"/>
    <w:basedOn w:val="DefaultParagraphFont"/>
    <w:uiPriority w:val="99"/>
    <w:semiHidden/>
    <w:unhideWhenUsed/>
    <w:rsid w:val="00B45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Additional taxation questions fact sheet</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taxation questions fact sheet</dc:title>
  <dc:subject/>
  <dc:creator/>
  <cp:keywords/>
  <dc:description/>
  <cp:lastModifiedBy/>
  <cp:revision>1</cp:revision>
  <dcterms:created xsi:type="dcterms:W3CDTF">2025-05-27T05:33:00Z</dcterms:created>
  <dcterms:modified xsi:type="dcterms:W3CDTF">2025-05-27T06:00:00Z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2025-05-27T05:34:40Z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74f00fd0-fb34-4273-b479-cf564085ccea</vt:lpwstr>
  </property>
  <property fmtid="{D5CDD505-2E9C-101B-9397-08002B2CF9AE}" pid="8" name="MSIP_Label_4f932d64-9ab1-4d9b-81d2-a3a8b82dd47d_ContentBits">
    <vt:lpwstr>0</vt:lpwstr>
  </property>
</Properties>
</file>