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A3A2" w14:textId="77777777" w:rsidR="00D11EC8" w:rsidRDefault="00F97D4A" w:rsidP="00D11EC8">
      <w:pPr>
        <w:pStyle w:val="Factsheettitle"/>
        <w:spacing w:before="1440" w:after="360"/>
      </w:pPr>
      <w:r w:rsidRPr="00F97D4A">
        <w:t>G</w:t>
      </w:r>
      <w:r>
        <w:t>uidance Note</w:t>
      </w:r>
      <w:r w:rsidR="00DD3940">
        <w:t xml:space="preserve"> </w:t>
      </w:r>
      <w:r w:rsidR="004E196A">
        <w:t>1</w:t>
      </w:r>
      <w:r w:rsidR="0002189A">
        <w:t>4</w:t>
      </w:r>
    </w:p>
    <w:p w14:paraId="41C36436" w14:textId="40558EF7" w:rsidR="00986A46" w:rsidRPr="006E76BE" w:rsidRDefault="009115C0" w:rsidP="00D11EC8">
      <w:pPr>
        <w:pStyle w:val="Heading1"/>
      </w:pPr>
      <w:bookmarkStart w:id="0" w:name="_Toc135897939"/>
      <w:bookmarkStart w:id="1" w:name="_Toc191295076"/>
      <w:bookmarkStart w:id="2" w:name="_Toc191641906"/>
      <w:bookmarkStart w:id="3" w:name="_Toc192078882"/>
      <w:r w:rsidRPr="009115C0">
        <w:t>C</w:t>
      </w:r>
      <w:r>
        <w:t xml:space="preserve">ompliance </w:t>
      </w:r>
      <w:r w:rsidR="00415635">
        <w:t>a</w:t>
      </w:r>
      <w:r w:rsidR="0002189A">
        <w:t xml:space="preserve">nd </w:t>
      </w:r>
      <w:r w:rsidR="00AE233A">
        <w:t>P</w:t>
      </w:r>
      <w:r w:rsidR="0002189A">
        <w:t xml:space="preserve">enalties </w:t>
      </w:r>
      <w:r w:rsidR="00B40E70">
        <w:t>(</w:t>
      </w:r>
      <w:r w:rsidR="00747C0C">
        <w:t>R</w:t>
      </w:r>
      <w:r w:rsidR="0002189A">
        <w:t xml:space="preserve">esidential </w:t>
      </w:r>
      <w:r w:rsidR="004D6F66">
        <w:t>L</w:t>
      </w:r>
      <w:r w:rsidR="0002189A">
        <w:t>and</w:t>
      </w:r>
      <w:bookmarkEnd w:id="0"/>
      <w:r w:rsidR="00B40E70">
        <w:t>)</w:t>
      </w:r>
      <w:bookmarkEnd w:id="1"/>
      <w:bookmarkEnd w:id="2"/>
      <w:bookmarkEnd w:id="3"/>
    </w:p>
    <w:p w14:paraId="0280AA6F" w14:textId="77777777" w:rsidR="00D11EC8" w:rsidRDefault="00D11EC8" w:rsidP="0069713D"/>
    <w:p w14:paraId="0A508C1D" w14:textId="1DAC9FF1" w:rsidR="009F090D" w:rsidRDefault="009F090D" w:rsidP="00D11EC8">
      <w:pPr>
        <w:pStyle w:val="Bullet"/>
        <w:rPr>
          <w:lang w:val="en"/>
        </w:rPr>
      </w:pPr>
      <w:r w:rsidRPr="00A036B1">
        <w:rPr>
          <w:lang w:val="en"/>
        </w:rPr>
        <w:t>Maintaining strong compliance with Australia</w:t>
      </w:r>
      <w:r w:rsidR="00D11EC8">
        <w:rPr>
          <w:lang w:val="en"/>
        </w:rPr>
        <w:t>’</w:t>
      </w:r>
      <w:r w:rsidRPr="00A036B1">
        <w:rPr>
          <w:lang w:val="en"/>
        </w:rPr>
        <w:t xml:space="preserve">s foreign investment legislation is a priority for the Australian Government, to </w:t>
      </w:r>
      <w:r w:rsidRPr="00D11EC8">
        <w:t>ensure</w:t>
      </w:r>
      <w:r w:rsidRPr="00A036B1">
        <w:rPr>
          <w:lang w:val="en"/>
        </w:rPr>
        <w:t xml:space="preserve"> that foreign investment is not contrary to the national interest (or national security, as the case requires). </w:t>
      </w:r>
    </w:p>
    <w:p w14:paraId="56B5236C" w14:textId="586204F6" w:rsidR="00F9788A" w:rsidRPr="002B5767" w:rsidRDefault="00F9788A" w:rsidP="002B5767">
      <w:pPr>
        <w:pStyle w:val="Bullet"/>
        <w:numPr>
          <w:ilvl w:val="1"/>
          <w:numId w:val="3"/>
        </w:numPr>
        <w:rPr>
          <w:rFonts w:eastAsiaTheme="minorHAnsi"/>
        </w:rPr>
      </w:pPr>
      <w:r w:rsidRPr="002B5767">
        <w:rPr>
          <w:rFonts w:eastAsiaTheme="minorHAnsi"/>
        </w:rPr>
        <w:t xml:space="preserve">The Government’s policy is </w:t>
      </w:r>
      <w:r w:rsidR="00590ABC">
        <w:rPr>
          <w:rFonts w:eastAsiaTheme="minorHAnsi"/>
        </w:rPr>
        <w:t xml:space="preserve">that </w:t>
      </w:r>
      <w:r w:rsidR="000C6765" w:rsidRPr="00665D45">
        <w:rPr>
          <w:rFonts w:eastAsiaTheme="minorHAnsi"/>
        </w:rPr>
        <w:t>from 1 April 2025 to 31 March 2027</w:t>
      </w:r>
      <w:r w:rsidR="000C6765">
        <w:rPr>
          <w:rFonts w:eastAsiaTheme="minorHAnsi"/>
        </w:rPr>
        <w:t xml:space="preserve">, </w:t>
      </w:r>
      <w:r w:rsidR="00590ABC">
        <w:rPr>
          <w:rFonts w:eastAsiaTheme="minorHAnsi"/>
        </w:rPr>
        <w:t>foreign persons are generally banned from purchasing established dwellings</w:t>
      </w:r>
      <w:r w:rsidR="00772BE7">
        <w:rPr>
          <w:rFonts w:eastAsiaTheme="minorHAnsi"/>
        </w:rPr>
        <w:t>, subject to limited exceptions.</w:t>
      </w:r>
      <w:r w:rsidR="00522F25">
        <w:rPr>
          <w:rFonts w:eastAsiaTheme="minorHAnsi"/>
        </w:rPr>
        <w:t xml:space="preserve"> </w:t>
      </w:r>
      <w:r w:rsidR="00522F25">
        <w:rPr>
          <w:lang w:val="en"/>
        </w:rPr>
        <w:t xml:space="preserve">Further information can be found in the </w:t>
      </w:r>
      <w:r w:rsidR="00522F25" w:rsidRPr="00665D45">
        <w:rPr>
          <w:i/>
          <w:iCs/>
          <w:lang w:val="en"/>
        </w:rPr>
        <w:t>Residential Land</w:t>
      </w:r>
      <w:r w:rsidR="00522F25">
        <w:rPr>
          <w:lang w:val="en"/>
        </w:rPr>
        <w:t xml:space="preserve"> Guidance Note.</w:t>
      </w:r>
    </w:p>
    <w:p w14:paraId="4F1BF652" w14:textId="77777777" w:rsidR="009F090D" w:rsidRPr="00F5277E" w:rsidRDefault="009F090D" w:rsidP="00D11EC8">
      <w:pPr>
        <w:pStyle w:val="Bullet"/>
        <w:rPr>
          <w:lang w:val="en"/>
        </w:rPr>
      </w:pPr>
      <w:r w:rsidRPr="00F5277E">
        <w:rPr>
          <w:lang w:val="en"/>
        </w:rPr>
        <w:t>Significant penalties (including infringement notices, civil and criminal penalties) may apply for breaches of the foreign investment law in relation to residential land.</w:t>
      </w:r>
    </w:p>
    <w:p w14:paraId="7EC5940F" w14:textId="106781CF" w:rsidR="009F090D" w:rsidRPr="00F5277E" w:rsidRDefault="009F090D" w:rsidP="00D11EC8">
      <w:pPr>
        <w:pStyle w:val="Bullet"/>
      </w:pPr>
      <w:r w:rsidRPr="00F5277E">
        <w:rPr>
          <w:lang w:val="en"/>
        </w:rPr>
        <w:t>Foreign persons who think they may have breached the law are strongly encouraged to self</w:t>
      </w:r>
      <w:r w:rsidR="00D11EC8">
        <w:rPr>
          <w:lang w:val="en"/>
        </w:rPr>
        <w:noBreakHyphen/>
      </w:r>
      <w:r w:rsidRPr="00F5277E">
        <w:rPr>
          <w:lang w:val="en"/>
        </w:rPr>
        <w:t xml:space="preserve">disclose this to the Government. Lower penalties may apply </w:t>
      </w:r>
      <w:r w:rsidRPr="00F5277E">
        <w:t>if a breach is self</w:t>
      </w:r>
      <w:r w:rsidR="00D11EC8">
        <w:noBreakHyphen/>
      </w:r>
      <w:r w:rsidRPr="00F5277E">
        <w:t>reported.</w:t>
      </w:r>
    </w:p>
    <w:p w14:paraId="7CCDEF58" w14:textId="77777777" w:rsidR="009F090D" w:rsidRDefault="009F090D" w:rsidP="00D11EC8">
      <w:pPr>
        <w:pStyle w:val="Bullet"/>
      </w:pPr>
      <w:r w:rsidRPr="00F5277E">
        <w:t xml:space="preserve">Foreign persons who have breached the law by acquiring an interest in </w:t>
      </w:r>
      <w:r w:rsidRPr="00D11EC8">
        <w:t>residential</w:t>
      </w:r>
      <w:r w:rsidRPr="00F5277E">
        <w:t xml:space="preserve"> land without prior foreign investment approval, may apply for retrospective approval of that acquisition.</w:t>
      </w:r>
    </w:p>
    <w:p w14:paraId="70D06C43" w14:textId="3E7CDC49" w:rsidR="00AD0514" w:rsidRPr="00F5277E" w:rsidRDefault="00AD0514" w:rsidP="002B5767">
      <w:pPr>
        <w:pStyle w:val="Bullet"/>
        <w:numPr>
          <w:ilvl w:val="1"/>
          <w:numId w:val="3"/>
        </w:numPr>
      </w:pPr>
      <w:r>
        <w:rPr>
          <w:rFonts w:eastAsiaTheme="minorHAnsi"/>
        </w:rPr>
        <w:t>Retrospective applications will be considered in accordance with the national interest test at the time of application. For established dwellings, this means that retrospective applications made on 1 April 2025 or later will be considered against the Government’s policy regarding the purchase of established dwellings by foreign persons from 1 April 2025.</w:t>
      </w:r>
    </w:p>
    <w:p w14:paraId="0363F264" w14:textId="77777777" w:rsidR="009F090D" w:rsidRPr="00F5277E" w:rsidRDefault="009F090D" w:rsidP="00D11EC8">
      <w:pPr>
        <w:pStyle w:val="Bullet"/>
      </w:pPr>
      <w:r w:rsidRPr="00F5277E">
        <w:t xml:space="preserve">Any person that suspects that the foreign investment law has been breached is </w:t>
      </w:r>
      <w:r w:rsidRPr="00D11EC8">
        <w:t>encouraged</w:t>
      </w:r>
      <w:r w:rsidRPr="00F5277E">
        <w:t xml:space="preserve"> to report this to the Government. Such reports can be made anonymously.</w:t>
      </w:r>
    </w:p>
    <w:p w14:paraId="2AC66A50" w14:textId="69F265C1" w:rsidR="00D17C0B" w:rsidRDefault="007B4CE3" w:rsidP="000C1C68">
      <w:pPr>
        <w:pStyle w:val="Bullet"/>
        <w:rPr>
          <w:lang w:val="en-US"/>
        </w:rPr>
      </w:pPr>
      <w:r w:rsidRPr="1760AD45">
        <w:rPr>
          <w:lang w:val="en-US"/>
        </w:rPr>
        <w:t xml:space="preserve">The Government </w:t>
      </w:r>
      <w:r w:rsidR="00704099" w:rsidRPr="1760AD45">
        <w:rPr>
          <w:lang w:val="en-US"/>
        </w:rPr>
        <w:t>also has a compliance focus o</w:t>
      </w:r>
      <w:r w:rsidR="00646EDB">
        <w:rPr>
          <w:lang w:val="en-US"/>
        </w:rPr>
        <w:t>n</w:t>
      </w:r>
      <w:r w:rsidR="00704099" w:rsidRPr="1760AD45">
        <w:rPr>
          <w:lang w:val="en-US"/>
        </w:rPr>
        <w:t xml:space="preserve"> ensuring that </w:t>
      </w:r>
      <w:r w:rsidRPr="1760AD45">
        <w:rPr>
          <w:lang w:val="en-US"/>
        </w:rPr>
        <w:t xml:space="preserve">foreign investors comply with </w:t>
      </w:r>
      <w:r w:rsidR="00327A58" w:rsidRPr="1760AD45">
        <w:rPr>
          <w:lang w:val="en-US"/>
        </w:rPr>
        <w:t xml:space="preserve">all </w:t>
      </w:r>
      <w:r w:rsidRPr="1760AD45">
        <w:rPr>
          <w:lang w:val="en-US"/>
        </w:rPr>
        <w:t>conditions of approval</w:t>
      </w:r>
      <w:r w:rsidR="00494F38" w:rsidRPr="1760AD45">
        <w:rPr>
          <w:lang w:val="en-US"/>
        </w:rPr>
        <w:t>, particularly development conditions where applicable</w:t>
      </w:r>
      <w:r w:rsidRPr="1760AD45">
        <w:rPr>
          <w:lang w:val="en-US"/>
        </w:rPr>
        <w:t>.</w:t>
      </w:r>
      <w:r w:rsidR="002B057C" w:rsidRPr="1760AD45">
        <w:rPr>
          <w:lang w:val="en-US"/>
        </w:rPr>
        <w:t xml:space="preserve"> </w:t>
      </w:r>
    </w:p>
    <w:p w14:paraId="6F7ABC55" w14:textId="2B43AFFE" w:rsidR="000C1C68" w:rsidRPr="005209E9" w:rsidRDefault="000C1C68" w:rsidP="00FA7ED0">
      <w:pPr>
        <w:pStyle w:val="Bullet"/>
        <w:numPr>
          <w:ilvl w:val="0"/>
          <w:numId w:val="0"/>
        </w:numPr>
        <w:ind w:left="1040"/>
        <w:rPr>
          <w:lang w:val="en"/>
        </w:rPr>
      </w:pPr>
    </w:p>
    <w:p w14:paraId="1A548AB1" w14:textId="77777777" w:rsidR="00DB63D6" w:rsidRDefault="00DB63D6">
      <w:pPr>
        <w:spacing w:before="0" w:after="0"/>
        <w:rPr>
          <w:rFonts w:asciiTheme="minorHAnsi" w:eastAsiaTheme="minorHAnsi" w:hAnsiTheme="minorHAnsi" w:cstheme="minorBidi"/>
          <w:b/>
          <w:color w:val="5F5F5F" w:themeColor="text2"/>
          <w:sz w:val="32"/>
          <w:szCs w:val="32"/>
          <w:lang w:eastAsia="en-US"/>
        </w:rPr>
      </w:pPr>
      <w:r>
        <w:rPr>
          <w:b/>
          <w:color w:val="5F5F5F" w:themeColor="text2"/>
          <w:sz w:val="32"/>
          <w:szCs w:val="32"/>
        </w:rPr>
        <w:br w:type="page"/>
      </w:r>
    </w:p>
    <w:sdt>
      <w:sdtPr>
        <w:rPr>
          <w:b/>
          <w:bCs/>
          <w:color w:val="5F5F5F" w:themeColor="text2"/>
          <w:sz w:val="32"/>
          <w:szCs w:val="32"/>
        </w:rPr>
        <w:id w:val="-1707554510"/>
        <w:docPartObj>
          <w:docPartGallery w:val="Table of Contents"/>
          <w:docPartUnique/>
        </w:docPartObj>
      </w:sdtPr>
      <w:sdtEndPr>
        <w:rPr>
          <w:noProof/>
          <w:color w:val="auto"/>
          <w:sz w:val="22"/>
          <w:szCs w:val="22"/>
        </w:rPr>
      </w:sdtEndPr>
      <w:sdtContent>
        <w:p w14:paraId="24855500" w14:textId="77777777" w:rsidR="0065460D" w:rsidRDefault="009F090D">
          <w:pPr>
            <w:pStyle w:val="TOC1"/>
            <w:tabs>
              <w:tab w:val="right" w:leader="dot" w:pos="8494"/>
            </w:tabs>
            <w:rPr>
              <w:noProof/>
            </w:rPr>
          </w:pPr>
          <w:r w:rsidRPr="00161CFC">
            <w:rPr>
              <w:noProof/>
              <w:color w:val="5F5F5F" w:themeColor="text2"/>
              <w:sz w:val="32"/>
              <w:szCs w:val="32"/>
            </w:rPr>
            <w:t>L</w:t>
          </w:r>
          <w:r w:rsidRPr="00712BD7">
            <w:rPr>
              <w:rFonts w:cs="Calibri Light"/>
              <w:noProof/>
              <w:color w:val="5F5F5F" w:themeColor="text2"/>
              <w:sz w:val="32"/>
              <w:szCs w:val="32"/>
            </w:rPr>
            <w:t>ooking for more?</w:t>
          </w:r>
          <w:r w:rsidRPr="00712BD7">
            <w:rPr>
              <w:rFonts w:cs="Calibri Light"/>
            </w:rPr>
            <w:fldChar w:fldCharType="begin"/>
          </w:r>
          <w:r w:rsidRPr="00712BD7">
            <w:rPr>
              <w:rFonts w:cs="Calibri Light"/>
            </w:rPr>
            <w:instrText xml:space="preserve"> TOC \o "1-2" \h \z \u </w:instrText>
          </w:r>
          <w:r w:rsidRPr="00712BD7">
            <w:rPr>
              <w:rFonts w:cs="Calibri Light"/>
            </w:rPr>
            <w:fldChar w:fldCharType="separate"/>
          </w:r>
        </w:p>
        <w:p w14:paraId="5D9B85FE" w14:textId="58F47808" w:rsidR="0065460D" w:rsidRPr="0065460D" w:rsidRDefault="00FF701B">
          <w:pPr>
            <w:pStyle w:val="TOC2"/>
            <w:rPr>
              <w:rFonts w:ascii="Calibri Light" w:eastAsiaTheme="minorEastAsia" w:hAnsi="Calibri Light" w:cs="Calibri Light"/>
              <w:noProof/>
              <w:kern w:val="2"/>
              <w:sz w:val="24"/>
              <w:szCs w:val="24"/>
              <w:lang w:eastAsia="en-AU"/>
              <w14:ligatures w14:val="standardContextual"/>
            </w:rPr>
          </w:pPr>
          <w:hyperlink w:anchor="_Toc192078883" w:history="1">
            <w:r w:rsidR="0065460D" w:rsidRPr="0065460D">
              <w:rPr>
                <w:rStyle w:val="Hyperlink"/>
                <w:rFonts w:ascii="Calibri Light" w:hAnsi="Calibri Light" w:cs="Calibri Light"/>
                <w:noProof/>
              </w:rPr>
              <w:t>A: Compliance approach with respect to residential land</w:t>
            </w:r>
            <w:r w:rsidR="0065460D" w:rsidRPr="0065460D">
              <w:rPr>
                <w:rFonts w:ascii="Calibri Light" w:hAnsi="Calibri Light" w:cs="Calibri Light"/>
                <w:noProof/>
                <w:webHidden/>
              </w:rPr>
              <w:tab/>
            </w:r>
            <w:r w:rsidR="0065460D" w:rsidRPr="0065460D">
              <w:rPr>
                <w:rFonts w:ascii="Calibri Light" w:hAnsi="Calibri Light" w:cs="Calibri Light"/>
                <w:noProof/>
                <w:webHidden/>
              </w:rPr>
              <w:fldChar w:fldCharType="begin"/>
            </w:r>
            <w:r w:rsidR="0065460D" w:rsidRPr="0065460D">
              <w:rPr>
                <w:rFonts w:ascii="Calibri Light" w:hAnsi="Calibri Light" w:cs="Calibri Light"/>
                <w:noProof/>
                <w:webHidden/>
              </w:rPr>
              <w:instrText xml:space="preserve"> PAGEREF _Toc192078883 \h </w:instrText>
            </w:r>
            <w:r w:rsidR="0065460D" w:rsidRPr="0065460D">
              <w:rPr>
                <w:rFonts w:ascii="Calibri Light" w:hAnsi="Calibri Light" w:cs="Calibri Light"/>
                <w:noProof/>
                <w:webHidden/>
              </w:rPr>
            </w:r>
            <w:r w:rsidR="0065460D" w:rsidRPr="0065460D">
              <w:rPr>
                <w:rFonts w:ascii="Calibri Light" w:hAnsi="Calibri Light" w:cs="Calibri Light"/>
                <w:noProof/>
                <w:webHidden/>
              </w:rPr>
              <w:fldChar w:fldCharType="separate"/>
            </w:r>
            <w:r w:rsidR="0065460D" w:rsidRPr="0065460D">
              <w:rPr>
                <w:rFonts w:ascii="Calibri Light" w:hAnsi="Calibri Light" w:cs="Calibri Light"/>
                <w:noProof/>
                <w:webHidden/>
              </w:rPr>
              <w:t>3</w:t>
            </w:r>
            <w:r w:rsidR="0065460D" w:rsidRPr="0065460D">
              <w:rPr>
                <w:rFonts w:ascii="Calibri Light" w:hAnsi="Calibri Light" w:cs="Calibri Light"/>
                <w:noProof/>
                <w:webHidden/>
              </w:rPr>
              <w:fldChar w:fldCharType="end"/>
            </w:r>
          </w:hyperlink>
        </w:p>
        <w:p w14:paraId="32704D52" w14:textId="1DE1ED4D" w:rsidR="0065460D" w:rsidRPr="0065460D" w:rsidRDefault="00FF701B">
          <w:pPr>
            <w:pStyle w:val="TOC2"/>
            <w:rPr>
              <w:rFonts w:ascii="Calibri Light" w:eastAsiaTheme="minorEastAsia" w:hAnsi="Calibri Light" w:cs="Calibri Light"/>
              <w:noProof/>
              <w:kern w:val="2"/>
              <w:sz w:val="24"/>
              <w:szCs w:val="24"/>
              <w:lang w:eastAsia="en-AU"/>
              <w14:ligatures w14:val="standardContextual"/>
            </w:rPr>
          </w:pPr>
          <w:hyperlink w:anchor="_Toc192078884" w:history="1">
            <w:r w:rsidR="0065460D" w:rsidRPr="0065460D">
              <w:rPr>
                <w:rStyle w:val="Hyperlink"/>
                <w:rFonts w:ascii="Calibri Light" w:hAnsi="Calibri Light" w:cs="Calibri Light"/>
                <w:noProof/>
              </w:rPr>
              <w:t>B: Penalty amounts for non</w:t>
            </w:r>
            <w:r w:rsidR="0065460D" w:rsidRPr="0065460D">
              <w:rPr>
                <w:rStyle w:val="Hyperlink"/>
                <w:rFonts w:ascii="Calibri Light" w:hAnsi="Calibri Light" w:cs="Calibri Light"/>
                <w:noProof/>
              </w:rPr>
              <w:noBreakHyphen/>
              <w:t>compliance</w:t>
            </w:r>
            <w:r w:rsidR="0065460D" w:rsidRPr="0065460D">
              <w:rPr>
                <w:rFonts w:ascii="Calibri Light" w:hAnsi="Calibri Light" w:cs="Calibri Light"/>
                <w:noProof/>
                <w:webHidden/>
              </w:rPr>
              <w:tab/>
            </w:r>
            <w:r w:rsidR="0065460D" w:rsidRPr="0065460D">
              <w:rPr>
                <w:rFonts w:ascii="Calibri Light" w:hAnsi="Calibri Light" w:cs="Calibri Light"/>
                <w:noProof/>
                <w:webHidden/>
              </w:rPr>
              <w:fldChar w:fldCharType="begin"/>
            </w:r>
            <w:r w:rsidR="0065460D" w:rsidRPr="0065460D">
              <w:rPr>
                <w:rFonts w:ascii="Calibri Light" w:hAnsi="Calibri Light" w:cs="Calibri Light"/>
                <w:noProof/>
                <w:webHidden/>
              </w:rPr>
              <w:instrText xml:space="preserve"> PAGEREF _Toc192078884 \h </w:instrText>
            </w:r>
            <w:r w:rsidR="0065460D" w:rsidRPr="0065460D">
              <w:rPr>
                <w:rFonts w:ascii="Calibri Light" w:hAnsi="Calibri Light" w:cs="Calibri Light"/>
                <w:noProof/>
                <w:webHidden/>
              </w:rPr>
            </w:r>
            <w:r w:rsidR="0065460D" w:rsidRPr="0065460D">
              <w:rPr>
                <w:rFonts w:ascii="Calibri Light" w:hAnsi="Calibri Light" w:cs="Calibri Light"/>
                <w:noProof/>
                <w:webHidden/>
              </w:rPr>
              <w:fldChar w:fldCharType="separate"/>
            </w:r>
            <w:r w:rsidR="0065460D" w:rsidRPr="0065460D">
              <w:rPr>
                <w:rFonts w:ascii="Calibri Light" w:hAnsi="Calibri Light" w:cs="Calibri Light"/>
                <w:noProof/>
                <w:webHidden/>
              </w:rPr>
              <w:t>5</w:t>
            </w:r>
            <w:r w:rsidR="0065460D" w:rsidRPr="0065460D">
              <w:rPr>
                <w:rFonts w:ascii="Calibri Light" w:hAnsi="Calibri Light" w:cs="Calibri Light"/>
                <w:noProof/>
                <w:webHidden/>
              </w:rPr>
              <w:fldChar w:fldCharType="end"/>
            </w:r>
          </w:hyperlink>
        </w:p>
        <w:p w14:paraId="195319C9" w14:textId="2A0C8063" w:rsidR="0065460D" w:rsidRPr="0065460D" w:rsidRDefault="00FF701B">
          <w:pPr>
            <w:pStyle w:val="TOC2"/>
            <w:rPr>
              <w:rFonts w:ascii="Calibri Light" w:eastAsiaTheme="minorEastAsia" w:hAnsi="Calibri Light" w:cs="Calibri Light"/>
              <w:noProof/>
              <w:kern w:val="2"/>
              <w:sz w:val="24"/>
              <w:szCs w:val="24"/>
              <w:lang w:eastAsia="en-AU"/>
              <w14:ligatures w14:val="standardContextual"/>
            </w:rPr>
          </w:pPr>
          <w:hyperlink w:anchor="_Toc192078885" w:history="1">
            <w:r w:rsidR="0065460D" w:rsidRPr="0065460D">
              <w:rPr>
                <w:rStyle w:val="Hyperlink"/>
                <w:rFonts w:ascii="Calibri Light" w:hAnsi="Calibri Light" w:cs="Calibri Light"/>
                <w:noProof/>
              </w:rPr>
              <w:t>C: Retrospective approvals and disposal orders</w:t>
            </w:r>
            <w:r w:rsidR="0065460D" w:rsidRPr="0065460D">
              <w:rPr>
                <w:rFonts w:ascii="Calibri Light" w:hAnsi="Calibri Light" w:cs="Calibri Light"/>
                <w:noProof/>
                <w:webHidden/>
              </w:rPr>
              <w:tab/>
            </w:r>
            <w:r w:rsidR="0065460D" w:rsidRPr="0065460D">
              <w:rPr>
                <w:rFonts w:ascii="Calibri Light" w:hAnsi="Calibri Light" w:cs="Calibri Light"/>
                <w:noProof/>
                <w:webHidden/>
              </w:rPr>
              <w:fldChar w:fldCharType="begin"/>
            </w:r>
            <w:r w:rsidR="0065460D" w:rsidRPr="0065460D">
              <w:rPr>
                <w:rFonts w:ascii="Calibri Light" w:hAnsi="Calibri Light" w:cs="Calibri Light"/>
                <w:noProof/>
                <w:webHidden/>
              </w:rPr>
              <w:instrText xml:space="preserve"> PAGEREF _Toc192078885 \h </w:instrText>
            </w:r>
            <w:r w:rsidR="0065460D" w:rsidRPr="0065460D">
              <w:rPr>
                <w:rFonts w:ascii="Calibri Light" w:hAnsi="Calibri Light" w:cs="Calibri Light"/>
                <w:noProof/>
                <w:webHidden/>
              </w:rPr>
            </w:r>
            <w:r w:rsidR="0065460D" w:rsidRPr="0065460D">
              <w:rPr>
                <w:rFonts w:ascii="Calibri Light" w:hAnsi="Calibri Light" w:cs="Calibri Light"/>
                <w:noProof/>
                <w:webHidden/>
              </w:rPr>
              <w:fldChar w:fldCharType="separate"/>
            </w:r>
            <w:r w:rsidR="0065460D" w:rsidRPr="0065460D">
              <w:rPr>
                <w:rFonts w:ascii="Calibri Light" w:hAnsi="Calibri Light" w:cs="Calibri Light"/>
                <w:noProof/>
                <w:webHidden/>
              </w:rPr>
              <w:t>13</w:t>
            </w:r>
            <w:r w:rsidR="0065460D" w:rsidRPr="0065460D">
              <w:rPr>
                <w:rFonts w:ascii="Calibri Light" w:hAnsi="Calibri Light" w:cs="Calibri Light"/>
                <w:noProof/>
                <w:webHidden/>
              </w:rPr>
              <w:fldChar w:fldCharType="end"/>
            </w:r>
          </w:hyperlink>
        </w:p>
        <w:p w14:paraId="2410E314" w14:textId="42EAEBA8" w:rsidR="0065460D" w:rsidRPr="0065460D" w:rsidRDefault="00FF701B">
          <w:pPr>
            <w:pStyle w:val="TOC2"/>
            <w:rPr>
              <w:rFonts w:ascii="Calibri Light" w:eastAsiaTheme="minorEastAsia" w:hAnsi="Calibri Light" w:cs="Calibri Light"/>
              <w:noProof/>
              <w:kern w:val="2"/>
              <w:sz w:val="24"/>
              <w:szCs w:val="24"/>
              <w:lang w:eastAsia="en-AU"/>
              <w14:ligatures w14:val="standardContextual"/>
            </w:rPr>
          </w:pPr>
          <w:hyperlink w:anchor="_Toc192078886" w:history="1">
            <w:r w:rsidR="0065460D" w:rsidRPr="0065460D">
              <w:rPr>
                <w:rStyle w:val="Hyperlink"/>
                <w:rFonts w:ascii="Calibri Light" w:hAnsi="Calibri Light" w:cs="Calibri Light"/>
                <w:noProof/>
              </w:rPr>
              <w:t>D: The types of penalties – infringement notices</w:t>
            </w:r>
            <w:r w:rsidR="0065460D" w:rsidRPr="0065460D">
              <w:rPr>
                <w:rFonts w:ascii="Calibri Light" w:hAnsi="Calibri Light" w:cs="Calibri Light"/>
                <w:noProof/>
                <w:webHidden/>
              </w:rPr>
              <w:tab/>
            </w:r>
            <w:r w:rsidR="0065460D" w:rsidRPr="0065460D">
              <w:rPr>
                <w:rFonts w:ascii="Calibri Light" w:hAnsi="Calibri Light" w:cs="Calibri Light"/>
                <w:noProof/>
                <w:webHidden/>
              </w:rPr>
              <w:fldChar w:fldCharType="begin"/>
            </w:r>
            <w:r w:rsidR="0065460D" w:rsidRPr="0065460D">
              <w:rPr>
                <w:rFonts w:ascii="Calibri Light" w:hAnsi="Calibri Light" w:cs="Calibri Light"/>
                <w:noProof/>
                <w:webHidden/>
              </w:rPr>
              <w:instrText xml:space="preserve"> PAGEREF _Toc192078886 \h </w:instrText>
            </w:r>
            <w:r w:rsidR="0065460D" w:rsidRPr="0065460D">
              <w:rPr>
                <w:rFonts w:ascii="Calibri Light" w:hAnsi="Calibri Light" w:cs="Calibri Light"/>
                <w:noProof/>
                <w:webHidden/>
              </w:rPr>
            </w:r>
            <w:r w:rsidR="0065460D" w:rsidRPr="0065460D">
              <w:rPr>
                <w:rFonts w:ascii="Calibri Light" w:hAnsi="Calibri Light" w:cs="Calibri Light"/>
                <w:noProof/>
                <w:webHidden/>
              </w:rPr>
              <w:fldChar w:fldCharType="separate"/>
            </w:r>
            <w:r w:rsidR="0065460D" w:rsidRPr="0065460D">
              <w:rPr>
                <w:rFonts w:ascii="Calibri Light" w:hAnsi="Calibri Light" w:cs="Calibri Light"/>
                <w:noProof/>
                <w:webHidden/>
              </w:rPr>
              <w:t>15</w:t>
            </w:r>
            <w:r w:rsidR="0065460D" w:rsidRPr="0065460D">
              <w:rPr>
                <w:rFonts w:ascii="Calibri Light" w:hAnsi="Calibri Light" w:cs="Calibri Light"/>
                <w:noProof/>
                <w:webHidden/>
              </w:rPr>
              <w:fldChar w:fldCharType="end"/>
            </w:r>
          </w:hyperlink>
        </w:p>
        <w:p w14:paraId="36E42C71" w14:textId="306C5F27" w:rsidR="0065460D" w:rsidRPr="0065460D" w:rsidRDefault="00FF701B">
          <w:pPr>
            <w:pStyle w:val="TOC2"/>
            <w:rPr>
              <w:rFonts w:ascii="Calibri Light" w:eastAsiaTheme="minorEastAsia" w:hAnsi="Calibri Light" w:cs="Calibri Light"/>
              <w:noProof/>
              <w:kern w:val="2"/>
              <w:sz w:val="24"/>
              <w:szCs w:val="24"/>
              <w:lang w:eastAsia="en-AU"/>
              <w14:ligatures w14:val="standardContextual"/>
            </w:rPr>
          </w:pPr>
          <w:hyperlink w:anchor="_Toc192078887" w:history="1">
            <w:r w:rsidR="0065460D" w:rsidRPr="0065460D">
              <w:rPr>
                <w:rStyle w:val="Hyperlink"/>
                <w:rFonts w:ascii="Calibri Light" w:hAnsi="Calibri Light" w:cs="Calibri Light"/>
                <w:noProof/>
              </w:rPr>
              <w:t>E: The types of penalties – civil and criminal penalties</w:t>
            </w:r>
            <w:r w:rsidR="0065460D" w:rsidRPr="0065460D">
              <w:rPr>
                <w:rFonts w:ascii="Calibri Light" w:hAnsi="Calibri Light" w:cs="Calibri Light"/>
                <w:noProof/>
                <w:webHidden/>
              </w:rPr>
              <w:tab/>
            </w:r>
            <w:r w:rsidR="0065460D" w:rsidRPr="0065460D">
              <w:rPr>
                <w:rFonts w:ascii="Calibri Light" w:hAnsi="Calibri Light" w:cs="Calibri Light"/>
                <w:noProof/>
                <w:webHidden/>
              </w:rPr>
              <w:fldChar w:fldCharType="begin"/>
            </w:r>
            <w:r w:rsidR="0065460D" w:rsidRPr="0065460D">
              <w:rPr>
                <w:rFonts w:ascii="Calibri Light" w:hAnsi="Calibri Light" w:cs="Calibri Light"/>
                <w:noProof/>
                <w:webHidden/>
              </w:rPr>
              <w:instrText xml:space="preserve"> PAGEREF _Toc192078887 \h </w:instrText>
            </w:r>
            <w:r w:rsidR="0065460D" w:rsidRPr="0065460D">
              <w:rPr>
                <w:rFonts w:ascii="Calibri Light" w:hAnsi="Calibri Light" w:cs="Calibri Light"/>
                <w:noProof/>
                <w:webHidden/>
              </w:rPr>
            </w:r>
            <w:r w:rsidR="0065460D" w:rsidRPr="0065460D">
              <w:rPr>
                <w:rFonts w:ascii="Calibri Light" w:hAnsi="Calibri Light" w:cs="Calibri Light"/>
                <w:noProof/>
                <w:webHidden/>
              </w:rPr>
              <w:fldChar w:fldCharType="separate"/>
            </w:r>
            <w:r w:rsidR="0065460D" w:rsidRPr="0065460D">
              <w:rPr>
                <w:rFonts w:ascii="Calibri Light" w:hAnsi="Calibri Light" w:cs="Calibri Light"/>
                <w:noProof/>
                <w:webHidden/>
              </w:rPr>
              <w:t>17</w:t>
            </w:r>
            <w:r w:rsidR="0065460D" w:rsidRPr="0065460D">
              <w:rPr>
                <w:rFonts w:ascii="Calibri Light" w:hAnsi="Calibri Light" w:cs="Calibri Light"/>
                <w:noProof/>
                <w:webHidden/>
              </w:rPr>
              <w:fldChar w:fldCharType="end"/>
            </w:r>
          </w:hyperlink>
        </w:p>
        <w:p w14:paraId="6A89AB0A" w14:textId="15E8F23B" w:rsidR="0065460D" w:rsidRPr="0065460D" w:rsidRDefault="00FF701B">
          <w:pPr>
            <w:pStyle w:val="TOC2"/>
            <w:rPr>
              <w:rFonts w:ascii="Calibri Light" w:eastAsiaTheme="minorEastAsia" w:hAnsi="Calibri Light" w:cs="Calibri Light"/>
              <w:noProof/>
              <w:kern w:val="2"/>
              <w:sz w:val="24"/>
              <w:szCs w:val="24"/>
              <w:lang w:eastAsia="en-AU"/>
              <w14:ligatures w14:val="standardContextual"/>
            </w:rPr>
          </w:pPr>
          <w:hyperlink w:anchor="_Toc192078888" w:history="1">
            <w:r w:rsidR="0065460D" w:rsidRPr="0065460D">
              <w:rPr>
                <w:rStyle w:val="Hyperlink"/>
                <w:rFonts w:ascii="Calibri Light" w:hAnsi="Calibri Light" w:cs="Calibri Light"/>
                <w:noProof/>
              </w:rPr>
              <w:t>Further information</w:t>
            </w:r>
            <w:r w:rsidR="0065460D" w:rsidRPr="0065460D">
              <w:rPr>
                <w:rFonts w:ascii="Calibri Light" w:hAnsi="Calibri Light" w:cs="Calibri Light"/>
                <w:noProof/>
                <w:webHidden/>
              </w:rPr>
              <w:tab/>
            </w:r>
            <w:r w:rsidR="0065460D" w:rsidRPr="0065460D">
              <w:rPr>
                <w:rFonts w:ascii="Calibri Light" w:hAnsi="Calibri Light" w:cs="Calibri Light"/>
                <w:noProof/>
                <w:webHidden/>
              </w:rPr>
              <w:fldChar w:fldCharType="begin"/>
            </w:r>
            <w:r w:rsidR="0065460D" w:rsidRPr="0065460D">
              <w:rPr>
                <w:rFonts w:ascii="Calibri Light" w:hAnsi="Calibri Light" w:cs="Calibri Light"/>
                <w:noProof/>
                <w:webHidden/>
              </w:rPr>
              <w:instrText xml:space="preserve"> PAGEREF _Toc192078888 \h </w:instrText>
            </w:r>
            <w:r w:rsidR="0065460D" w:rsidRPr="0065460D">
              <w:rPr>
                <w:rFonts w:ascii="Calibri Light" w:hAnsi="Calibri Light" w:cs="Calibri Light"/>
                <w:noProof/>
                <w:webHidden/>
              </w:rPr>
            </w:r>
            <w:r w:rsidR="0065460D" w:rsidRPr="0065460D">
              <w:rPr>
                <w:rFonts w:ascii="Calibri Light" w:hAnsi="Calibri Light" w:cs="Calibri Light"/>
                <w:noProof/>
                <w:webHidden/>
              </w:rPr>
              <w:fldChar w:fldCharType="separate"/>
            </w:r>
            <w:r w:rsidR="0065460D" w:rsidRPr="0065460D">
              <w:rPr>
                <w:rFonts w:ascii="Calibri Light" w:hAnsi="Calibri Light" w:cs="Calibri Light"/>
                <w:noProof/>
                <w:webHidden/>
              </w:rPr>
              <w:t>18</w:t>
            </w:r>
            <w:r w:rsidR="0065460D" w:rsidRPr="0065460D">
              <w:rPr>
                <w:rFonts w:ascii="Calibri Light" w:hAnsi="Calibri Light" w:cs="Calibri Light"/>
                <w:noProof/>
                <w:webHidden/>
              </w:rPr>
              <w:fldChar w:fldCharType="end"/>
            </w:r>
          </w:hyperlink>
        </w:p>
        <w:p w14:paraId="3156B6B6" w14:textId="7594927E" w:rsidR="009F090D" w:rsidRPr="00F5277E" w:rsidRDefault="009F090D" w:rsidP="00885C97">
          <w:pPr>
            <w:pStyle w:val="TOC2"/>
          </w:pPr>
          <w:r w:rsidRPr="00712BD7">
            <w:rPr>
              <w:rFonts w:ascii="Calibri Light" w:hAnsi="Calibri Light" w:cs="Calibri Light"/>
            </w:rPr>
            <w:fldChar w:fldCharType="end"/>
          </w:r>
        </w:p>
      </w:sdtContent>
    </w:sdt>
    <w:p w14:paraId="66AC2E4B" w14:textId="77777777" w:rsidR="009F090D" w:rsidRPr="00F5277E" w:rsidRDefault="009F090D" w:rsidP="00D11EC8">
      <w:pPr>
        <w:spacing w:after="0"/>
        <w:rPr>
          <w:b/>
          <w:color w:val="2C384A" w:themeColor="accent1"/>
          <w:u w:val="single"/>
        </w:rPr>
      </w:pPr>
      <w:r w:rsidRPr="00F5277E">
        <w:rPr>
          <w:b/>
          <w:color w:val="2C384A" w:themeColor="accent1"/>
          <w:u w:val="single"/>
        </w:rPr>
        <w:br w:type="page"/>
      </w:r>
    </w:p>
    <w:p w14:paraId="7678ECB4" w14:textId="77777777" w:rsidR="009F090D" w:rsidRPr="00F5277E" w:rsidRDefault="009F090D" w:rsidP="00D11EC8">
      <w:pPr>
        <w:pStyle w:val="Heading2"/>
      </w:pPr>
      <w:bookmarkStart w:id="4" w:name="_Toc192078883"/>
      <w:r w:rsidRPr="00F5277E">
        <w:lastRenderedPageBreak/>
        <w:t>A: Compliance approach with respect to residential land</w:t>
      </w:r>
      <w:bookmarkEnd w:id="4"/>
    </w:p>
    <w:p w14:paraId="181DA017" w14:textId="77777777" w:rsidR="009F090D" w:rsidRPr="00F5277E" w:rsidRDefault="009F090D" w:rsidP="00D11EC8">
      <w:pPr>
        <w:rPr>
          <w:szCs w:val="22"/>
        </w:rPr>
      </w:pPr>
      <w:r w:rsidRPr="00F5277E">
        <w:rPr>
          <w:szCs w:val="22"/>
        </w:rPr>
        <w:t xml:space="preserve">See also the </w:t>
      </w:r>
      <w:r w:rsidRPr="00F5277E">
        <w:rPr>
          <w:i/>
          <w:szCs w:val="22"/>
        </w:rPr>
        <w:t>Residential Land</w:t>
      </w:r>
      <w:r w:rsidRPr="00F5277E">
        <w:rPr>
          <w:szCs w:val="22"/>
        </w:rPr>
        <w:t xml:space="preserve"> Guidance Note.</w:t>
      </w:r>
    </w:p>
    <w:p w14:paraId="43935F02" w14:textId="69A94B40" w:rsidR="009F090D" w:rsidRPr="00F5277E" w:rsidRDefault="009F090D" w:rsidP="00D11EC8">
      <w:r w:rsidRPr="00F5277E">
        <w:t>Maintaining strong compliance with Australia</w:t>
      </w:r>
      <w:r w:rsidR="00D11EC8">
        <w:t>’</w:t>
      </w:r>
      <w:r w:rsidRPr="00F5277E">
        <w:t>s foreign investment legislation is a priority for the Australian Government, to ensure that foreign investment is not contrary to the national interest (or national security, as the case requires).</w:t>
      </w:r>
    </w:p>
    <w:p w14:paraId="07B0A29A" w14:textId="0E03067E" w:rsidR="009F090D" w:rsidRPr="00F5277E" w:rsidRDefault="009F090D" w:rsidP="00D11EC8">
      <w:r w:rsidRPr="00F5277E">
        <w:t>The Government</w:t>
      </w:r>
      <w:r w:rsidR="00D11EC8">
        <w:t>’</w:t>
      </w:r>
      <w:r w:rsidRPr="00F5277E">
        <w:t>s compliance efforts with respect to foreign investment in residential land aim to achieve a balance between detecting and remedying non</w:t>
      </w:r>
      <w:r w:rsidR="00D11EC8">
        <w:noBreakHyphen/>
      </w:r>
      <w:r w:rsidRPr="00F5277E">
        <w:t>compliance to provide assurance to the community that the law is being upheld, while limiting the regulatory impact and supporting foreign investors to do the right thing</w:t>
      </w:r>
      <w:r>
        <w:t>.</w:t>
      </w:r>
      <w:r w:rsidR="00D40FAE">
        <w:t xml:space="preserve"> </w:t>
      </w:r>
    </w:p>
    <w:p w14:paraId="1E5A9D61" w14:textId="0DFE5E65" w:rsidR="009F090D" w:rsidRPr="00F5277E" w:rsidRDefault="009F090D" w:rsidP="00D11EC8">
      <w:r w:rsidRPr="00F5277E">
        <w:t xml:space="preserve">The Australian Taxation Office (the </w:t>
      </w:r>
      <w:r w:rsidRPr="00F5277E">
        <w:rPr>
          <w:b/>
        </w:rPr>
        <w:t>ATO</w:t>
      </w:r>
      <w:r w:rsidRPr="00F5277E">
        <w:t>)</w:t>
      </w:r>
      <w:r w:rsidRPr="00F5277E">
        <w:rPr>
          <w:rStyle w:val="FootnoteReference"/>
        </w:rPr>
        <w:footnoteReference w:id="2"/>
      </w:r>
      <w:r w:rsidRPr="00F5277E">
        <w:t xml:space="preserve"> </w:t>
      </w:r>
      <w:proofErr w:type="gramStart"/>
      <w:r w:rsidRPr="00F5277E">
        <w:t>has the ability to</w:t>
      </w:r>
      <w:proofErr w:type="gramEnd"/>
      <w:r w:rsidRPr="00F5277E">
        <w:t xml:space="preserve"> use comprehensive data matching systems to identify breaches of the law with respect to residential land. This is also supported by information and activities from other regulatory regimes and government regulators.</w:t>
      </w:r>
      <w:r w:rsidR="00B949E3" w:rsidRPr="00B949E3">
        <w:t xml:space="preserve"> </w:t>
      </w:r>
      <w:r w:rsidR="00B949E3">
        <w:t xml:space="preserve">In addition, </w:t>
      </w:r>
      <w:r w:rsidR="00B3649A">
        <w:t>both</w:t>
      </w:r>
      <w:r w:rsidR="00B949E3">
        <w:t xml:space="preserve"> the </w:t>
      </w:r>
      <w:r w:rsidR="00D845DD">
        <w:t>Treasury’s and</w:t>
      </w:r>
      <w:r w:rsidR="00B3649A">
        <w:t xml:space="preserve"> </w:t>
      </w:r>
      <w:r w:rsidR="00B949E3">
        <w:t>the ATO</w:t>
      </w:r>
      <w:r w:rsidR="005304F5">
        <w:t>’s compliance approach</w:t>
      </w:r>
      <w:r w:rsidR="00D845DD">
        <w:t>es</w:t>
      </w:r>
      <w:r w:rsidR="005304F5">
        <w:t xml:space="preserve"> </w:t>
      </w:r>
      <w:r w:rsidR="00D845DD">
        <w:t>are</w:t>
      </w:r>
      <w:r w:rsidR="00CA7FFE">
        <w:t xml:space="preserve"> focussed</w:t>
      </w:r>
      <w:r w:rsidR="00B949E3">
        <w:t xml:space="preserve"> </w:t>
      </w:r>
      <w:r w:rsidR="0008367C">
        <w:t xml:space="preserve">on </w:t>
      </w:r>
      <w:r w:rsidR="005D45F0">
        <w:t>ensuring compliance with conditions</w:t>
      </w:r>
      <w:r w:rsidR="0060289B">
        <w:t xml:space="preserve"> of approval</w:t>
      </w:r>
      <w:r w:rsidR="005D45F0">
        <w:t>, including</w:t>
      </w:r>
      <w:r w:rsidR="00A66DED">
        <w:t xml:space="preserve"> </w:t>
      </w:r>
      <w:r w:rsidR="003E480A">
        <w:t>audits</w:t>
      </w:r>
      <w:r w:rsidR="008D4A7C">
        <w:t xml:space="preserve"> </w:t>
      </w:r>
      <w:r w:rsidR="00B949E3">
        <w:t>to target land banking by foreign investors</w:t>
      </w:r>
      <w:r w:rsidR="00710CAC">
        <w:t xml:space="preserve"> where land is not put to productive use within reasonable timeframes</w:t>
      </w:r>
      <w:r w:rsidR="00192ED7">
        <w:t xml:space="preserve"> in accordance with development conditions</w:t>
      </w:r>
      <w:r w:rsidR="00B949E3">
        <w:t>.</w:t>
      </w:r>
    </w:p>
    <w:p w14:paraId="155444E5" w14:textId="185865BB" w:rsidR="009F090D" w:rsidRPr="00F5277E" w:rsidRDefault="009F090D" w:rsidP="00D11EC8">
      <w:r w:rsidRPr="00F5277E">
        <w:t>The Government provides support and education to foreign investors to assist them to meet their compliance obligations in the first instance. If enforcement action is necessary following a breach of the foreign investment law in relation to residential land, the Government will ensure that the pursuit of any penalties is commensurate with the breach and the degree of non</w:t>
      </w:r>
      <w:r w:rsidR="00D11EC8">
        <w:noBreakHyphen/>
      </w:r>
      <w:r w:rsidRPr="00F5277E">
        <w:t>compliance. Consideration is given to factors such as the investor</w:t>
      </w:r>
      <w:r w:rsidR="00D11EC8">
        <w:t>’</w:t>
      </w:r>
      <w:r w:rsidRPr="00F5277E">
        <w:t>s circumstances, behaviour, and previous compliance history when determining whether penalties are appropriate. Factors such as an inadvertent breach, a self</w:t>
      </w:r>
      <w:r w:rsidR="00D11EC8">
        <w:noBreakHyphen/>
      </w:r>
      <w:r w:rsidRPr="00F5277E">
        <w:t xml:space="preserve">disclosure, and/or where the foreign person is willing to remediate their breach as quickly as possible are also relevant considerations. </w:t>
      </w:r>
    </w:p>
    <w:p w14:paraId="5CE3B093" w14:textId="1093C9B1" w:rsidR="009F090D" w:rsidRPr="00F5277E" w:rsidRDefault="009F090D" w:rsidP="00D11EC8">
      <w:pPr>
        <w:pStyle w:val="Heading3"/>
      </w:pPr>
      <w:r w:rsidRPr="00F5277E">
        <w:t>Self</w:t>
      </w:r>
      <w:r w:rsidR="00D11EC8">
        <w:noBreakHyphen/>
      </w:r>
      <w:r w:rsidRPr="00F5277E">
        <w:t>disclosure of non</w:t>
      </w:r>
      <w:r w:rsidR="00D11EC8">
        <w:noBreakHyphen/>
      </w:r>
      <w:r w:rsidRPr="00F5277E">
        <w:t>compliance</w:t>
      </w:r>
    </w:p>
    <w:p w14:paraId="25F9D7C3" w14:textId="4FFD9123" w:rsidR="009F090D" w:rsidRPr="00F5277E" w:rsidRDefault="009F090D" w:rsidP="00D11EC8">
      <w:r w:rsidRPr="00F5277E">
        <w:t>Foreign investors who think they may have breached the foreign investment law in relation to residential land are encouraged to self</w:t>
      </w:r>
      <w:r w:rsidR="00D11EC8">
        <w:noBreakHyphen/>
      </w:r>
      <w:r w:rsidRPr="00F5277E">
        <w:t>disclose this. L</w:t>
      </w:r>
      <w:proofErr w:type="spellStart"/>
      <w:r w:rsidRPr="00F5277E">
        <w:rPr>
          <w:lang w:val="en"/>
        </w:rPr>
        <w:t>ower</w:t>
      </w:r>
      <w:proofErr w:type="spellEnd"/>
      <w:r w:rsidRPr="00F5277E">
        <w:rPr>
          <w:lang w:val="en"/>
        </w:rPr>
        <w:t xml:space="preserve"> penalties may apply </w:t>
      </w:r>
      <w:r w:rsidRPr="00F5277E">
        <w:t>if a breach is self</w:t>
      </w:r>
      <w:r w:rsidR="00D11EC8">
        <w:noBreakHyphen/>
      </w:r>
      <w:r w:rsidRPr="00F5277E">
        <w:t>reported.</w:t>
      </w:r>
    </w:p>
    <w:p w14:paraId="7CD71DF1" w14:textId="0972BE84" w:rsidR="009F090D" w:rsidRPr="00F5277E" w:rsidRDefault="009F090D" w:rsidP="00D11EC8">
      <w:r w:rsidRPr="00F5277E">
        <w:t>Investors can self</w:t>
      </w:r>
      <w:r w:rsidR="00D11EC8">
        <w:noBreakHyphen/>
      </w:r>
      <w:r w:rsidRPr="00F5277E">
        <w:t xml:space="preserve">disclose their residential breaches by completing the online </w:t>
      </w:r>
      <w:hyperlink r:id="rId7" w:history="1">
        <w:r w:rsidRPr="00F5277E">
          <w:rPr>
            <w:rStyle w:val="Hyperlink"/>
          </w:rPr>
          <w:t>ATO tip</w:t>
        </w:r>
        <w:r w:rsidR="00D11EC8">
          <w:rPr>
            <w:rStyle w:val="Hyperlink"/>
          </w:rPr>
          <w:noBreakHyphen/>
        </w:r>
        <w:r w:rsidRPr="00F5277E">
          <w:rPr>
            <w:rStyle w:val="Hyperlink"/>
          </w:rPr>
          <w:t>off form</w:t>
        </w:r>
      </w:hyperlink>
      <w:r w:rsidRPr="00F5277E">
        <w:t xml:space="preserve">, phoning 1800 060 062, or emailing </w:t>
      </w:r>
      <w:hyperlink r:id="rId8" w:history="1">
        <w:r w:rsidRPr="00F5277E">
          <w:rPr>
            <w:rStyle w:val="Hyperlink"/>
          </w:rPr>
          <w:t>firbcompliance@ato.gov.au</w:t>
        </w:r>
      </w:hyperlink>
      <w:r w:rsidRPr="00F5277E">
        <w:t>. Please provide as much factual detail as possible, including:</w:t>
      </w:r>
    </w:p>
    <w:p w14:paraId="63A4990A" w14:textId="72780FB8" w:rsidR="009F090D" w:rsidRPr="00F5277E" w:rsidRDefault="009F090D" w:rsidP="00D11EC8">
      <w:pPr>
        <w:pStyle w:val="Bullet"/>
      </w:pPr>
      <w:r w:rsidRPr="00F5277E">
        <w:t>Your name, address, contact details, and passport information (</w:t>
      </w:r>
      <w:r w:rsidRPr="00D11EC8">
        <w:t>for</w:t>
      </w:r>
      <w:r w:rsidRPr="00F5277E">
        <w:t xml:space="preserve"> example, full legal name on passport, passport number, and place of issue)</w:t>
      </w:r>
      <w:r w:rsidR="00892028">
        <w:t>,</w:t>
      </w:r>
    </w:p>
    <w:p w14:paraId="3C900374" w14:textId="03000D8B" w:rsidR="009F090D" w:rsidRPr="00F5277E" w:rsidRDefault="009F090D" w:rsidP="00D11EC8">
      <w:pPr>
        <w:pStyle w:val="Bullet"/>
      </w:pPr>
      <w:r w:rsidRPr="00F5277E">
        <w:t xml:space="preserve">The company or </w:t>
      </w:r>
      <w:r w:rsidRPr="00D11EC8">
        <w:t>trust</w:t>
      </w:r>
      <w:r w:rsidRPr="00F5277E">
        <w:t xml:space="preserve"> details, where applicable</w:t>
      </w:r>
      <w:r w:rsidR="00892028">
        <w:t>,</w:t>
      </w:r>
    </w:p>
    <w:p w14:paraId="7BE1456A" w14:textId="34143F2D" w:rsidR="009F090D" w:rsidRPr="00F5277E" w:rsidRDefault="009F090D" w:rsidP="00D11EC8">
      <w:pPr>
        <w:pStyle w:val="Bullet"/>
      </w:pPr>
      <w:r w:rsidRPr="00F5277E">
        <w:t>Details of the breach</w:t>
      </w:r>
      <w:r w:rsidR="00892028">
        <w:t>,</w:t>
      </w:r>
    </w:p>
    <w:p w14:paraId="0C30F044" w14:textId="07C8653D" w:rsidR="009F090D" w:rsidRPr="00F5277E" w:rsidRDefault="009F090D" w:rsidP="00D11EC8">
      <w:pPr>
        <w:pStyle w:val="Bullet"/>
      </w:pPr>
      <w:r w:rsidRPr="00F5277E">
        <w:t xml:space="preserve">The property address, type, date of settlement, </w:t>
      </w:r>
      <w:r w:rsidRPr="00D11EC8">
        <w:t>ownership</w:t>
      </w:r>
      <w:r w:rsidRPr="00F5277E">
        <w:t xml:space="preserve"> details, and contract of sale (including nomination documents, where applicable)</w:t>
      </w:r>
      <w:r w:rsidR="00892028">
        <w:t>,</w:t>
      </w:r>
      <w:r w:rsidRPr="00F5277E">
        <w:t xml:space="preserve"> and</w:t>
      </w:r>
    </w:p>
    <w:p w14:paraId="1E571DAD" w14:textId="6404A86C" w:rsidR="009F090D" w:rsidRPr="00D11EC8" w:rsidRDefault="009F090D" w:rsidP="00D11EC8">
      <w:pPr>
        <w:pStyle w:val="Bullet"/>
      </w:pPr>
      <w:r w:rsidRPr="00F5277E">
        <w:lastRenderedPageBreak/>
        <w:t xml:space="preserve">Any other </w:t>
      </w:r>
      <w:proofErr w:type="gramStart"/>
      <w:r w:rsidRPr="00F5277E">
        <w:t>factual information</w:t>
      </w:r>
      <w:proofErr w:type="gramEnd"/>
      <w:r w:rsidRPr="00F5277E">
        <w:t xml:space="preserve"> about the property (for example, </w:t>
      </w:r>
      <w:r w:rsidRPr="00D11EC8">
        <w:t>whether</w:t>
      </w:r>
      <w:r w:rsidRPr="00F5277E">
        <w:t xml:space="preserve"> the land was initially vacant before being built on).</w:t>
      </w:r>
    </w:p>
    <w:p w14:paraId="0F1A2EB9" w14:textId="4C3D8467" w:rsidR="009F090D" w:rsidRPr="00F5277E" w:rsidRDefault="009F090D" w:rsidP="00D11EC8">
      <w:pPr>
        <w:pStyle w:val="Heading3"/>
      </w:pPr>
      <w:r w:rsidRPr="00F5277E">
        <w:t xml:space="preserve">Reporting </w:t>
      </w:r>
      <w:r w:rsidRPr="00D11EC8">
        <w:t>suspected</w:t>
      </w:r>
      <w:r w:rsidRPr="00F5277E">
        <w:t xml:space="preserve"> non</w:t>
      </w:r>
      <w:r w:rsidR="00D11EC8">
        <w:noBreakHyphen/>
      </w:r>
      <w:r w:rsidRPr="00F5277E">
        <w:t>compliance</w:t>
      </w:r>
    </w:p>
    <w:p w14:paraId="7A7F1D82" w14:textId="6DEE3673" w:rsidR="009F090D" w:rsidRPr="00F5277E" w:rsidRDefault="009F090D" w:rsidP="00D11EC8">
      <w:r w:rsidRPr="00F5277E">
        <w:t>Persons that have information about a possible breach of Australia</w:t>
      </w:r>
      <w:r w:rsidR="00D11EC8">
        <w:t>’</w:t>
      </w:r>
      <w:r w:rsidRPr="00F5277E">
        <w:t>s foreign investment law in relation to residential land are also encouraged to report this. This information will help the Government to safeguard Australia</w:t>
      </w:r>
      <w:r w:rsidR="00D11EC8">
        <w:t>’</w:t>
      </w:r>
      <w:r w:rsidRPr="00F5277E">
        <w:t>s national interest, businesses and the economy. All reports of suspected non</w:t>
      </w:r>
      <w:r w:rsidR="00D11EC8">
        <w:noBreakHyphen/>
      </w:r>
      <w:r w:rsidRPr="00F5277E">
        <w:t>compliance with the foreign investment law in relation to residential land are investigated if enough information is provided.</w:t>
      </w:r>
    </w:p>
    <w:p w14:paraId="799C0E2B" w14:textId="5564EB7C" w:rsidR="009F090D" w:rsidRPr="00F5277E" w:rsidRDefault="009F090D" w:rsidP="00D11EC8">
      <w:r w:rsidRPr="00F5277E">
        <w:t xml:space="preserve">Suspected breaches of the foreign investment law in relation to residential land can be reported by completing the online </w:t>
      </w:r>
      <w:hyperlink r:id="rId9" w:history="1">
        <w:r w:rsidRPr="00F5277E">
          <w:rPr>
            <w:rStyle w:val="Hyperlink"/>
          </w:rPr>
          <w:t>ATO tip</w:t>
        </w:r>
        <w:r w:rsidR="00D11EC8">
          <w:rPr>
            <w:rStyle w:val="Hyperlink"/>
          </w:rPr>
          <w:noBreakHyphen/>
        </w:r>
        <w:r w:rsidRPr="00F5277E">
          <w:rPr>
            <w:rStyle w:val="Hyperlink"/>
          </w:rPr>
          <w:t>off form</w:t>
        </w:r>
      </w:hyperlink>
      <w:r w:rsidRPr="00F5277E">
        <w:t xml:space="preserve">, phoning 1800 060 062, or emailing </w:t>
      </w:r>
      <w:hyperlink r:id="rId10" w:history="1">
        <w:r w:rsidRPr="00F5277E">
          <w:rPr>
            <w:rStyle w:val="Hyperlink"/>
          </w:rPr>
          <w:t>firbcompliance@ato.gov.au</w:t>
        </w:r>
      </w:hyperlink>
      <w:r w:rsidRPr="00F5277E">
        <w:t>. Please provide as much factual detail as possible, including:</w:t>
      </w:r>
    </w:p>
    <w:p w14:paraId="72D870E4" w14:textId="77777777" w:rsidR="009F090D" w:rsidRPr="00F5277E" w:rsidRDefault="009F090D" w:rsidP="00D11EC8">
      <w:pPr>
        <w:pStyle w:val="Bullet"/>
      </w:pPr>
      <w:r w:rsidRPr="00F5277E">
        <w:t xml:space="preserve">Your name, contact details, and </w:t>
      </w:r>
      <w:r w:rsidRPr="00D11EC8">
        <w:t>email</w:t>
      </w:r>
      <w:r w:rsidRPr="00F5277E">
        <w:t xml:space="preserve"> </w:t>
      </w:r>
      <w:proofErr w:type="gramStart"/>
      <w:r w:rsidRPr="00F5277E">
        <w:t>address;</w:t>
      </w:r>
      <w:proofErr w:type="gramEnd"/>
    </w:p>
    <w:p w14:paraId="746FE2F8" w14:textId="77777777" w:rsidR="009F090D" w:rsidRPr="00F5277E" w:rsidRDefault="009F090D" w:rsidP="00D11EC8">
      <w:pPr>
        <w:pStyle w:val="Bullet"/>
      </w:pPr>
      <w:r w:rsidRPr="00F5277E">
        <w:t xml:space="preserve">Details of the </w:t>
      </w:r>
      <w:r w:rsidRPr="00D11EC8">
        <w:t>suspected</w:t>
      </w:r>
      <w:r w:rsidRPr="00F5277E">
        <w:t xml:space="preserve"> </w:t>
      </w:r>
      <w:proofErr w:type="gramStart"/>
      <w:r w:rsidRPr="00F5277E">
        <w:t>breach;</w:t>
      </w:r>
      <w:proofErr w:type="gramEnd"/>
      <w:r w:rsidRPr="00F5277E">
        <w:t xml:space="preserve"> </w:t>
      </w:r>
    </w:p>
    <w:p w14:paraId="036345F3" w14:textId="77777777" w:rsidR="009F090D" w:rsidRPr="00F5277E" w:rsidRDefault="009F090D" w:rsidP="00D11EC8">
      <w:pPr>
        <w:pStyle w:val="Bullet"/>
      </w:pPr>
      <w:r w:rsidRPr="00F5277E">
        <w:t xml:space="preserve">The property address concerning the </w:t>
      </w:r>
      <w:r w:rsidRPr="00D11EC8">
        <w:t>suspected</w:t>
      </w:r>
      <w:r w:rsidRPr="00F5277E">
        <w:t xml:space="preserve"> </w:t>
      </w:r>
      <w:proofErr w:type="gramStart"/>
      <w:r w:rsidRPr="00F5277E">
        <w:t>breach;</w:t>
      </w:r>
      <w:proofErr w:type="gramEnd"/>
    </w:p>
    <w:p w14:paraId="127F2684" w14:textId="77777777" w:rsidR="009F090D" w:rsidRPr="00F5277E" w:rsidRDefault="009F090D" w:rsidP="00D11EC8">
      <w:pPr>
        <w:pStyle w:val="Bullet"/>
      </w:pPr>
      <w:r w:rsidRPr="00F5277E">
        <w:t>The name of the property owner or occupant (if known</w:t>
      </w:r>
      <w:proofErr w:type="gramStart"/>
      <w:r w:rsidRPr="00F5277E">
        <w:t>);</w:t>
      </w:r>
      <w:proofErr w:type="gramEnd"/>
    </w:p>
    <w:p w14:paraId="32F54203" w14:textId="77777777" w:rsidR="009F090D" w:rsidRPr="00F5277E" w:rsidRDefault="009F090D" w:rsidP="00D11EC8">
      <w:pPr>
        <w:pStyle w:val="Bullet"/>
      </w:pPr>
      <w:r w:rsidRPr="00F5277E">
        <w:t xml:space="preserve">The date of the property purchase (if known); </w:t>
      </w:r>
      <w:r w:rsidRPr="00D11EC8">
        <w:t>and</w:t>
      </w:r>
    </w:p>
    <w:p w14:paraId="05F23F71" w14:textId="77777777" w:rsidR="009F090D" w:rsidRPr="00F5277E" w:rsidRDefault="009F090D" w:rsidP="00D11EC8">
      <w:pPr>
        <w:pStyle w:val="Bullet"/>
      </w:pPr>
      <w:r w:rsidRPr="00F5277E">
        <w:t xml:space="preserve">Any other </w:t>
      </w:r>
      <w:proofErr w:type="gramStart"/>
      <w:r w:rsidRPr="00F5277E">
        <w:t>factual information</w:t>
      </w:r>
      <w:proofErr w:type="gramEnd"/>
      <w:r w:rsidRPr="00F5277E">
        <w:t xml:space="preserve"> about the property (for example, </w:t>
      </w:r>
      <w:r w:rsidRPr="00D11EC8">
        <w:t>whether</w:t>
      </w:r>
      <w:r w:rsidRPr="00F5277E">
        <w:t xml:space="preserve"> it is vacant, rented or owner occupied) (if known).</w:t>
      </w:r>
    </w:p>
    <w:p w14:paraId="39787711" w14:textId="77777777" w:rsidR="009F090D" w:rsidRPr="00F5277E" w:rsidRDefault="009F090D" w:rsidP="00D11EC8">
      <w:r w:rsidRPr="00F5277E">
        <w:t>Persons can also report a suspected breach anonymously. To do so, please call the foreign investment enquiry line on 1800 050 377, or if you are calling from overseas dial +61 6216 1111 and ask to be transferred to 1800 050 377.</w:t>
      </w:r>
    </w:p>
    <w:p w14:paraId="5D7C96AC" w14:textId="77777777" w:rsidR="009F090D" w:rsidRPr="00F5277E" w:rsidRDefault="009F090D" w:rsidP="00D11EC8">
      <w:r w:rsidRPr="00F5277E">
        <w:t>Privacy laws prevent the Government from sharing details of any foreign investment compliance application or investigation in relation to residential land with third parties. The Government will equally respect the privacy of the person reporting the suspected breach, as well as the privacy of the owner of the reported property.</w:t>
      </w:r>
    </w:p>
    <w:p w14:paraId="35BE1842" w14:textId="77777777" w:rsidR="000C57AD" w:rsidRDefault="000C57AD">
      <w:pPr>
        <w:spacing w:before="0" w:after="0"/>
        <w:rPr>
          <w:rFonts w:ascii="Calibri" w:hAnsi="Calibri" w:cs="Arial"/>
          <w:iCs/>
          <w:color w:val="2C384A"/>
          <w:kern w:val="32"/>
          <w:sz w:val="36"/>
          <w:szCs w:val="28"/>
        </w:rPr>
      </w:pPr>
      <w:r>
        <w:br w:type="page"/>
      </w:r>
    </w:p>
    <w:p w14:paraId="0FAD39FA" w14:textId="5AD4EE12" w:rsidR="009F090D" w:rsidRPr="00F5277E" w:rsidRDefault="009F090D" w:rsidP="00D11EC8">
      <w:pPr>
        <w:pStyle w:val="Heading2"/>
      </w:pPr>
      <w:bookmarkStart w:id="5" w:name="_Toc192078884"/>
      <w:r w:rsidRPr="00F5277E">
        <w:lastRenderedPageBreak/>
        <w:t>B: Penalty amounts for non</w:t>
      </w:r>
      <w:r w:rsidR="00D11EC8">
        <w:noBreakHyphen/>
      </w:r>
      <w:r w:rsidRPr="00F5277E">
        <w:t>compliance</w:t>
      </w:r>
      <w:bookmarkEnd w:id="5"/>
      <w:r w:rsidRPr="00F5277E">
        <w:t xml:space="preserve"> </w:t>
      </w:r>
    </w:p>
    <w:p w14:paraId="0395D81B" w14:textId="77777777" w:rsidR="009F090D" w:rsidRPr="00F5277E" w:rsidRDefault="009F090D" w:rsidP="00D11EC8">
      <w:pPr>
        <w:rPr>
          <w:szCs w:val="22"/>
        </w:rPr>
      </w:pPr>
      <w:r w:rsidRPr="00F5277E">
        <w:rPr>
          <w:szCs w:val="22"/>
        </w:rPr>
        <w:t xml:space="preserve">See also the </w:t>
      </w:r>
      <w:r w:rsidRPr="00F5277E">
        <w:rPr>
          <w:i/>
          <w:szCs w:val="22"/>
        </w:rPr>
        <w:t>Residential Land</w:t>
      </w:r>
      <w:r w:rsidRPr="00F5277E">
        <w:rPr>
          <w:szCs w:val="22"/>
        </w:rPr>
        <w:t xml:space="preserve"> Guidance Note.</w:t>
      </w:r>
    </w:p>
    <w:p w14:paraId="269044B3" w14:textId="77777777" w:rsidR="009F090D" w:rsidRPr="00F5277E" w:rsidRDefault="009F090D" w:rsidP="00D11EC8">
      <w:r w:rsidRPr="00F5277E">
        <w:t>Significant penalties (including infringement notices, civil and criminal penalties) may apply for breaches of the foreign investment law in relation to residential land, as outlined in the table</w:t>
      </w:r>
      <w:r>
        <w:t> </w:t>
      </w:r>
      <w:r w:rsidRPr="00F5277E">
        <w:t xml:space="preserve">below. </w:t>
      </w:r>
    </w:p>
    <w:p w14:paraId="07A8460C" w14:textId="0527726E" w:rsidR="009F090D" w:rsidRPr="00F40989" w:rsidRDefault="009F090D" w:rsidP="00D11EC8">
      <w:r>
        <w:t>The value of a penalty unit is set out in subsection 4</w:t>
      </w:r>
      <w:proofErr w:type="gramStart"/>
      <w:r>
        <w:t>AA(</w:t>
      </w:r>
      <w:proofErr w:type="gramEnd"/>
      <w:r>
        <w:t xml:space="preserve">1) of the </w:t>
      </w:r>
      <w:hyperlink r:id="rId11" w:history="1">
        <w:r w:rsidRPr="00FD3EA1">
          <w:rPr>
            <w:rStyle w:val="Hyperlink"/>
            <w:i/>
            <w:iCs/>
          </w:rPr>
          <w:t>Crimes Act 1914</w:t>
        </w:r>
      </w:hyperlink>
      <w:r>
        <w:t>.</w:t>
      </w:r>
    </w:p>
    <w:p w14:paraId="5D93E49E" w14:textId="3606545D" w:rsidR="009F090D" w:rsidRPr="00F5277E" w:rsidRDefault="009F090D" w:rsidP="00D11EC8">
      <w:r w:rsidRPr="00F40989">
        <w:t>The Government will consider each</w:t>
      </w:r>
      <w:r w:rsidRPr="00F5277E">
        <w:t xml:space="preserve"> breach of the foreign investment law in relation to residential land on a case</w:t>
      </w:r>
      <w:r w:rsidR="00D11EC8">
        <w:noBreakHyphen/>
      </w:r>
      <w:r w:rsidRPr="00F5277E">
        <w:t>by</w:t>
      </w:r>
      <w:r w:rsidR="00D11EC8">
        <w:noBreakHyphen/>
      </w:r>
      <w:r w:rsidRPr="00F5277E">
        <w:t>case basis to determine the appropriate penalty to pursue.</w:t>
      </w:r>
    </w:p>
    <w:p w14:paraId="0DB66C53" w14:textId="39733635" w:rsidR="009F090D" w:rsidRPr="00F5277E" w:rsidRDefault="009F090D" w:rsidP="00D11EC8">
      <w:pPr>
        <w:spacing w:after="0"/>
      </w:pPr>
    </w:p>
    <w:tbl>
      <w:tblPr>
        <w:tblStyle w:val="TableGrid"/>
        <w:tblW w:w="5000" w:type="pct"/>
        <w:tblLook w:val="04A0" w:firstRow="1" w:lastRow="0" w:firstColumn="1" w:lastColumn="0" w:noHBand="0" w:noVBand="1"/>
      </w:tblPr>
      <w:tblGrid>
        <w:gridCol w:w="1695"/>
        <w:gridCol w:w="6799"/>
      </w:tblGrid>
      <w:tr w:rsidR="00F0256D" w:rsidRPr="00F0256D" w14:paraId="11431A07" w14:textId="77777777" w:rsidTr="00A01F7F">
        <w:trPr>
          <w:tblHeader/>
        </w:trPr>
        <w:tc>
          <w:tcPr>
            <w:tcW w:w="998" w:type="pct"/>
            <w:shd w:val="clear" w:color="auto" w:fill="F2F2F2" w:themeFill="background1" w:themeFillShade="F2"/>
            <w:vAlign w:val="center"/>
          </w:tcPr>
          <w:p w14:paraId="2A666759" w14:textId="77777777" w:rsidR="009F090D" w:rsidRPr="00F0256D" w:rsidRDefault="009F090D" w:rsidP="00F0256D">
            <w:pPr>
              <w:pStyle w:val="Tablecolumnheading"/>
              <w:rPr>
                <w:color w:val="auto"/>
              </w:rPr>
            </w:pPr>
            <w:r w:rsidRPr="00F0256D">
              <w:rPr>
                <w:color w:val="auto"/>
              </w:rPr>
              <w:t xml:space="preserve">Breach action </w:t>
            </w:r>
          </w:p>
        </w:tc>
        <w:tc>
          <w:tcPr>
            <w:tcW w:w="4002" w:type="pct"/>
            <w:tcBorders>
              <w:right w:val="single" w:sz="4" w:space="0" w:color="auto"/>
            </w:tcBorders>
            <w:shd w:val="clear" w:color="auto" w:fill="F2F2F2" w:themeFill="background1" w:themeFillShade="F2"/>
            <w:vAlign w:val="center"/>
          </w:tcPr>
          <w:p w14:paraId="359787D7" w14:textId="77777777" w:rsidR="009F090D" w:rsidRPr="00F0256D" w:rsidRDefault="009F090D" w:rsidP="00F0256D">
            <w:pPr>
              <w:pStyle w:val="Tablecolumnheading"/>
              <w:rPr>
                <w:color w:val="auto"/>
              </w:rPr>
            </w:pPr>
            <w:r w:rsidRPr="00F0256D">
              <w:rPr>
                <w:color w:val="auto"/>
              </w:rPr>
              <w:t>Possible penalty</w:t>
            </w:r>
          </w:p>
        </w:tc>
      </w:tr>
      <w:tr w:rsidR="009F090D" w:rsidRPr="00F5277E" w14:paraId="7D837EF3" w14:textId="77777777" w:rsidTr="00A01F7F">
        <w:tc>
          <w:tcPr>
            <w:tcW w:w="998" w:type="pct"/>
            <w:vMerge w:val="restart"/>
            <w:vAlign w:val="center"/>
          </w:tcPr>
          <w:p w14:paraId="564A26A1" w14:textId="77777777" w:rsidR="009F090D" w:rsidRPr="00F5277E" w:rsidRDefault="009F090D" w:rsidP="00D96627">
            <w:pPr>
              <w:pStyle w:val="BoxText"/>
            </w:pPr>
            <w:r w:rsidRPr="00F5277E">
              <w:t>Failing to notify the Treasurer before acquiring an interest in residential land</w:t>
            </w:r>
          </w:p>
        </w:tc>
        <w:tc>
          <w:tcPr>
            <w:tcW w:w="4002" w:type="pct"/>
            <w:tcBorders>
              <w:right w:val="single" w:sz="4" w:space="0" w:color="auto"/>
            </w:tcBorders>
            <w:vAlign w:val="center"/>
          </w:tcPr>
          <w:p w14:paraId="75B8CF25"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 xml:space="preserve">Maximum criminal penalty (s84 of the </w:t>
            </w:r>
            <w:r w:rsidRPr="00F5277E">
              <w:rPr>
                <w:rFonts w:asciiTheme="minorHAnsi" w:hAnsiTheme="minorHAnsi" w:cstheme="minorHAnsi"/>
                <w:b/>
                <w:i/>
                <w:szCs w:val="22"/>
              </w:rPr>
              <w:t>Foreign Acquisitions and Takeovers Act 1975</w:t>
            </w:r>
            <w:r w:rsidRPr="00F5277E">
              <w:rPr>
                <w:rFonts w:asciiTheme="minorHAnsi" w:hAnsiTheme="minorHAnsi" w:cstheme="minorHAnsi"/>
                <w:b/>
                <w:szCs w:val="22"/>
              </w:rPr>
              <w:t xml:space="preserve"> (the Act)):</w:t>
            </w:r>
          </w:p>
          <w:p w14:paraId="4DEFA46B" w14:textId="77777777" w:rsidR="009F090D" w:rsidRPr="00F5277E" w:rsidRDefault="009F090D" w:rsidP="00F0256D">
            <w:pPr>
              <w:pStyle w:val="BoxText"/>
            </w:pPr>
            <w:r w:rsidRPr="00F5277E">
              <w:t>Imprisonment for 10 years, or 15,000 penalty units (or 150,000 penalty units if the person is a corporation), or both.</w:t>
            </w:r>
          </w:p>
        </w:tc>
      </w:tr>
      <w:tr w:rsidR="009F090D" w:rsidRPr="00F5277E" w14:paraId="7FB00247" w14:textId="77777777" w:rsidTr="00A01F7F">
        <w:tc>
          <w:tcPr>
            <w:tcW w:w="998" w:type="pct"/>
            <w:vMerge/>
            <w:vAlign w:val="center"/>
          </w:tcPr>
          <w:p w14:paraId="38AA2790"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72BC9FBE"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(s94 of the Act):</w:t>
            </w:r>
          </w:p>
          <w:p w14:paraId="49493375" w14:textId="77777777" w:rsidR="009F090D" w:rsidRPr="00F5277E" w:rsidRDefault="009F090D" w:rsidP="00F0256D">
            <w:pPr>
              <w:pStyle w:val="BoxText"/>
            </w:pPr>
            <w:r w:rsidRPr="00F5277E">
              <w:t>The greatest of:</w:t>
            </w:r>
          </w:p>
          <w:p w14:paraId="1847FE07" w14:textId="711CEE3F" w:rsidR="009F090D" w:rsidRPr="00F5277E" w:rsidRDefault="009F090D" w:rsidP="00F0256D">
            <w:pPr>
              <w:pStyle w:val="BoxText"/>
            </w:pPr>
            <w:r w:rsidRPr="00F5277E">
              <w:t xml:space="preserve">(a) </w:t>
            </w:r>
            <w:r w:rsidR="001F7B9B">
              <w:t xml:space="preserve">double </w:t>
            </w:r>
            <w:r w:rsidRPr="00F5277E">
              <w:t xml:space="preserve">the amount of the capital gain that was made or would be made on the disposal of the relevant residential </w:t>
            </w:r>
            <w:proofErr w:type="gramStart"/>
            <w:r w:rsidRPr="00F5277E">
              <w:t>land;</w:t>
            </w:r>
            <w:proofErr w:type="gramEnd"/>
            <w:r w:rsidRPr="00F5277E">
              <w:t xml:space="preserve"> </w:t>
            </w:r>
          </w:p>
          <w:p w14:paraId="1CE902F3" w14:textId="13F356D0" w:rsidR="009F090D" w:rsidRPr="00F5277E" w:rsidRDefault="009F090D" w:rsidP="00F0256D">
            <w:pPr>
              <w:pStyle w:val="BoxText"/>
            </w:pPr>
            <w:r w:rsidRPr="00F5277E">
              <w:t xml:space="preserve">(b) </w:t>
            </w:r>
            <w:r w:rsidR="001F7B9B">
              <w:t>50</w:t>
            </w:r>
            <w:r w:rsidRPr="00F5277E">
              <w:t>% of the consideration; and</w:t>
            </w:r>
          </w:p>
          <w:p w14:paraId="3222E4CB" w14:textId="79562EF1" w:rsidR="009F090D" w:rsidRPr="00F5277E" w:rsidRDefault="009F090D" w:rsidP="00F0256D">
            <w:pPr>
              <w:pStyle w:val="BoxText"/>
            </w:pPr>
            <w:r w:rsidRPr="00F5277E">
              <w:t xml:space="preserve">(c) </w:t>
            </w:r>
            <w:r w:rsidR="001F7B9B">
              <w:t>50</w:t>
            </w:r>
            <w:r w:rsidRPr="00F5277E">
              <w:t>% of the market value of the relevant residential land.</w:t>
            </w:r>
          </w:p>
        </w:tc>
      </w:tr>
      <w:tr w:rsidR="009F090D" w:rsidRPr="00F5277E" w14:paraId="6F8E91E0" w14:textId="77777777" w:rsidTr="00A01F7F">
        <w:tc>
          <w:tcPr>
            <w:tcW w:w="998" w:type="pct"/>
            <w:vMerge/>
            <w:vAlign w:val="center"/>
          </w:tcPr>
          <w:p w14:paraId="1E546963"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275BBDBA" w14:textId="30A36572"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discloses their breach):</w:t>
            </w:r>
          </w:p>
          <w:p w14:paraId="058A5C58" w14:textId="77777777" w:rsidR="009F090D" w:rsidRPr="00F5277E" w:rsidRDefault="009F090D" w:rsidP="00F0256D">
            <w:pPr>
              <w:pStyle w:val="BoxText"/>
            </w:pPr>
            <w:r w:rsidRPr="00F5277E">
              <w:t>12 penalty units (or 60 penalty units if the person is a corporation).</w:t>
            </w:r>
          </w:p>
          <w:p w14:paraId="2805524B"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 (may be applied when the value of the land is &lt;$5 million):</w:t>
            </w:r>
          </w:p>
          <w:p w14:paraId="6F32D52B" w14:textId="77777777" w:rsidR="009F090D" w:rsidRPr="00F5277E" w:rsidRDefault="009F090D" w:rsidP="00F0256D">
            <w:pPr>
              <w:pStyle w:val="BoxText"/>
            </w:pPr>
            <w:r w:rsidRPr="00F5277E">
              <w:t>60 penalty units (or 300 penalty units if the person is a corporation).</w:t>
            </w:r>
          </w:p>
          <w:p w14:paraId="0C28CF3B"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 (may be applied when the value of the land is &gt;$5 million):</w:t>
            </w:r>
          </w:p>
          <w:p w14:paraId="14A2C09C" w14:textId="77777777" w:rsidR="009F090D" w:rsidRPr="00F5277E" w:rsidRDefault="009F090D" w:rsidP="00F0256D">
            <w:pPr>
              <w:pStyle w:val="BoxText"/>
            </w:pPr>
            <w:r w:rsidRPr="00F5277E">
              <w:t>300 penalty units (or 1,500 penalty units if the person is a corporation).</w:t>
            </w:r>
          </w:p>
          <w:p w14:paraId="42C3E0A9" w14:textId="77777777" w:rsidR="009F090D" w:rsidRPr="00F5277E" w:rsidRDefault="009F090D" w:rsidP="00F0256D">
            <w:pPr>
              <w:pStyle w:val="BoxText"/>
            </w:pPr>
            <w:r w:rsidRPr="00F5277E">
              <w:t>See s100 of the Act.</w:t>
            </w:r>
          </w:p>
        </w:tc>
      </w:tr>
      <w:tr w:rsidR="009F090D" w:rsidRPr="00F5277E" w14:paraId="0EFCE9B7" w14:textId="77777777" w:rsidTr="00A01F7F">
        <w:tc>
          <w:tcPr>
            <w:tcW w:w="998" w:type="pct"/>
            <w:vMerge w:val="restart"/>
            <w:vAlign w:val="center"/>
          </w:tcPr>
          <w:p w14:paraId="4B7F4073" w14:textId="77777777" w:rsidR="009F090D" w:rsidRPr="00F5277E" w:rsidRDefault="009F090D" w:rsidP="00D96627">
            <w:pPr>
              <w:pStyle w:val="BoxText"/>
            </w:pPr>
            <w:r w:rsidRPr="00F5277E">
              <w:t>Acquiring an interest in residential land, after notifying the Treasurer, but before receiving foreign investment approval</w:t>
            </w:r>
          </w:p>
        </w:tc>
        <w:tc>
          <w:tcPr>
            <w:tcW w:w="4002" w:type="pct"/>
            <w:tcBorders>
              <w:right w:val="single" w:sz="4" w:space="0" w:color="auto"/>
            </w:tcBorders>
            <w:vAlign w:val="center"/>
          </w:tcPr>
          <w:p w14:paraId="6BD86234"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criminal penalty (s85 of the Act):</w:t>
            </w:r>
          </w:p>
          <w:p w14:paraId="673C4A57" w14:textId="77777777" w:rsidR="009F090D" w:rsidRPr="00A01F7F" w:rsidRDefault="009F090D" w:rsidP="00D11EC8">
            <w:pPr>
              <w:rPr>
                <w:rFonts w:cs="Calibri Light"/>
                <w:szCs w:val="22"/>
              </w:rPr>
            </w:pPr>
            <w:r w:rsidRPr="00A01F7F">
              <w:rPr>
                <w:rFonts w:cs="Calibri Light"/>
                <w:szCs w:val="22"/>
              </w:rPr>
              <w:t>Imprisonment for 10 years, or 15,000 penalty units (or 150,000 penalty units if the person is a corporation), or both.</w:t>
            </w:r>
          </w:p>
        </w:tc>
      </w:tr>
      <w:tr w:rsidR="009F090D" w:rsidRPr="00F5277E" w14:paraId="6883E66E" w14:textId="77777777" w:rsidTr="00A01F7F">
        <w:tc>
          <w:tcPr>
            <w:tcW w:w="998" w:type="pct"/>
            <w:vMerge/>
            <w:vAlign w:val="center"/>
          </w:tcPr>
          <w:p w14:paraId="179EB97F"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3F3EF077"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(s94 of the Act):</w:t>
            </w:r>
          </w:p>
          <w:p w14:paraId="6C9BC8F7" w14:textId="77777777" w:rsidR="009F090D" w:rsidRPr="00F5277E" w:rsidRDefault="009F090D" w:rsidP="00F0256D">
            <w:pPr>
              <w:pStyle w:val="BoxText"/>
            </w:pPr>
            <w:r w:rsidRPr="00F5277E">
              <w:t>The greatest of:</w:t>
            </w:r>
          </w:p>
          <w:p w14:paraId="2F798D5D" w14:textId="3FDADA9B" w:rsidR="009F090D" w:rsidRPr="00F5277E" w:rsidRDefault="009F090D" w:rsidP="00F0256D">
            <w:pPr>
              <w:pStyle w:val="BoxText"/>
            </w:pPr>
            <w:r w:rsidRPr="00F5277E">
              <w:t>(a)</w:t>
            </w:r>
            <w:r w:rsidR="001F7B9B">
              <w:t xml:space="preserve"> double</w:t>
            </w:r>
            <w:r w:rsidRPr="00F5277E">
              <w:t xml:space="preserve"> the amount of the capital gain that was made or would be made on the disposal of the relevant residential </w:t>
            </w:r>
            <w:proofErr w:type="gramStart"/>
            <w:r w:rsidRPr="00F5277E">
              <w:t>land;</w:t>
            </w:r>
            <w:proofErr w:type="gramEnd"/>
            <w:r w:rsidRPr="00F5277E">
              <w:t xml:space="preserve"> </w:t>
            </w:r>
          </w:p>
          <w:p w14:paraId="6530F656" w14:textId="7A53DB64" w:rsidR="009F090D" w:rsidRPr="00F5277E" w:rsidRDefault="009F090D" w:rsidP="00F0256D">
            <w:pPr>
              <w:pStyle w:val="BoxText"/>
            </w:pPr>
            <w:r w:rsidRPr="00F5277E">
              <w:t xml:space="preserve">(b) </w:t>
            </w:r>
            <w:r w:rsidR="001F7B9B">
              <w:t>50</w:t>
            </w:r>
            <w:r w:rsidRPr="00F5277E">
              <w:t>% of the consideration; and</w:t>
            </w:r>
          </w:p>
          <w:p w14:paraId="22671B02" w14:textId="7E1497AA" w:rsidR="009F090D" w:rsidRPr="00F5277E" w:rsidRDefault="009F090D" w:rsidP="00F0256D">
            <w:pPr>
              <w:pStyle w:val="BoxText"/>
            </w:pPr>
            <w:r w:rsidRPr="00F5277E">
              <w:t xml:space="preserve">(c) </w:t>
            </w:r>
            <w:r w:rsidR="001F7B9B">
              <w:t>50</w:t>
            </w:r>
            <w:r w:rsidRPr="00F5277E">
              <w:t>% of the market value of the relevant residential land.</w:t>
            </w:r>
          </w:p>
        </w:tc>
      </w:tr>
      <w:tr w:rsidR="009F090D" w:rsidRPr="00F5277E" w14:paraId="47E6FC85" w14:textId="77777777" w:rsidTr="00A01F7F">
        <w:tc>
          <w:tcPr>
            <w:tcW w:w="998" w:type="pct"/>
            <w:vMerge/>
            <w:vAlign w:val="center"/>
          </w:tcPr>
          <w:p w14:paraId="272BE779"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5A5BDACE" w14:textId="10912EB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discloses their breach):</w:t>
            </w:r>
          </w:p>
          <w:p w14:paraId="10E6067A" w14:textId="77777777" w:rsidR="009F090D" w:rsidRPr="00F5277E" w:rsidRDefault="009F090D" w:rsidP="00F0256D">
            <w:pPr>
              <w:pStyle w:val="BoxText"/>
            </w:pPr>
            <w:r w:rsidRPr="00F5277E">
              <w:t>12 penalty units (or 60 penalty units if the person is a corporation).</w:t>
            </w:r>
          </w:p>
          <w:p w14:paraId="6393308A"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 (may be applied when the value of the land is &lt;$5 million):</w:t>
            </w:r>
          </w:p>
          <w:p w14:paraId="20B9FD25" w14:textId="77777777" w:rsidR="009F090D" w:rsidRPr="00F5277E" w:rsidRDefault="009F090D" w:rsidP="00F0256D">
            <w:pPr>
              <w:pStyle w:val="BoxText"/>
            </w:pPr>
            <w:r w:rsidRPr="00F5277E">
              <w:t>60 penalty units (or 300 penalty units if the person is a corporation).</w:t>
            </w:r>
          </w:p>
          <w:p w14:paraId="1A313435"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 (may be applied when the value of the land is &gt;$5 million):</w:t>
            </w:r>
          </w:p>
          <w:p w14:paraId="6CAC9ED5" w14:textId="77777777" w:rsidR="009F090D" w:rsidRPr="00F5277E" w:rsidRDefault="009F090D" w:rsidP="00F0256D">
            <w:pPr>
              <w:pStyle w:val="BoxText"/>
            </w:pPr>
            <w:r w:rsidRPr="00F5277E">
              <w:t>300 penalty units (or 1,500 penalty units if the person is a corporation).</w:t>
            </w:r>
          </w:p>
          <w:p w14:paraId="35563975" w14:textId="77777777" w:rsidR="009F090D" w:rsidRPr="00F5277E" w:rsidRDefault="009F090D" w:rsidP="00F0256D">
            <w:pPr>
              <w:pStyle w:val="BoxText"/>
            </w:pPr>
            <w:r w:rsidRPr="00F5277E">
              <w:t>See s100 of the Act.</w:t>
            </w:r>
          </w:p>
        </w:tc>
      </w:tr>
      <w:tr w:rsidR="009F090D" w:rsidRPr="00F5277E" w14:paraId="60759771" w14:textId="77777777" w:rsidTr="00A01F7F">
        <w:tc>
          <w:tcPr>
            <w:tcW w:w="998" w:type="pct"/>
            <w:vMerge w:val="restart"/>
            <w:vAlign w:val="center"/>
          </w:tcPr>
          <w:p w14:paraId="03724AF1" w14:textId="77777777" w:rsidR="009F090D" w:rsidRPr="00F5277E" w:rsidRDefault="009F090D" w:rsidP="00D96627">
            <w:pPr>
              <w:pStyle w:val="BoxText"/>
            </w:pPr>
            <w:r w:rsidRPr="00F5277E">
              <w:t>Providing the Treasurer with false or misleading information in an application for foreign investment approval for residential land</w:t>
            </w:r>
          </w:p>
        </w:tc>
        <w:tc>
          <w:tcPr>
            <w:tcW w:w="4002" w:type="pct"/>
            <w:tcBorders>
              <w:right w:val="single" w:sz="4" w:space="0" w:color="auto"/>
            </w:tcBorders>
            <w:vAlign w:val="center"/>
          </w:tcPr>
          <w:p w14:paraId="52B1C41C"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 xml:space="preserve">Maximum criminal penalty (Part 7.4 of the </w:t>
            </w:r>
            <w:r w:rsidRPr="00F5277E">
              <w:rPr>
                <w:rFonts w:asciiTheme="minorHAnsi" w:hAnsiTheme="minorHAnsi" w:cstheme="minorHAnsi"/>
                <w:b/>
                <w:i/>
                <w:szCs w:val="22"/>
              </w:rPr>
              <w:t>Criminal Code Act 1995</w:t>
            </w:r>
            <w:r w:rsidRPr="00F5277E">
              <w:rPr>
                <w:rFonts w:asciiTheme="minorHAnsi" w:hAnsiTheme="minorHAnsi" w:cstheme="minorHAnsi"/>
                <w:b/>
                <w:szCs w:val="22"/>
              </w:rPr>
              <w:t>):</w:t>
            </w:r>
          </w:p>
          <w:p w14:paraId="08BD47BB" w14:textId="77777777" w:rsidR="009F090D" w:rsidRPr="00F5277E" w:rsidRDefault="009F090D" w:rsidP="00F0256D">
            <w:pPr>
              <w:pStyle w:val="BoxText"/>
            </w:pPr>
            <w:r w:rsidRPr="00F5277E">
              <w:t>Imprisonment for 12 months.</w:t>
            </w:r>
          </w:p>
        </w:tc>
      </w:tr>
      <w:tr w:rsidR="009F090D" w:rsidRPr="00F5277E" w14:paraId="0F1CE4AB" w14:textId="77777777" w:rsidTr="00A01F7F">
        <w:tc>
          <w:tcPr>
            <w:tcW w:w="998" w:type="pct"/>
            <w:vMerge/>
            <w:vAlign w:val="center"/>
          </w:tcPr>
          <w:p w14:paraId="1A3FA0F8"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160F188C"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(when the investor applies for a no objection notification, s98B of the Act):</w:t>
            </w:r>
          </w:p>
          <w:p w14:paraId="5C2D6D27" w14:textId="77777777" w:rsidR="009F090D" w:rsidRPr="00F5277E" w:rsidRDefault="009F090D" w:rsidP="00F0256D">
            <w:pPr>
              <w:pStyle w:val="BoxText"/>
            </w:pPr>
            <w:r w:rsidRPr="00F5277E">
              <w:t>The lesser of:</w:t>
            </w:r>
          </w:p>
          <w:p w14:paraId="55C15725" w14:textId="77777777" w:rsidR="009F090D" w:rsidRPr="00F5277E" w:rsidRDefault="009F090D" w:rsidP="00F0256D">
            <w:pPr>
              <w:pStyle w:val="BoxText"/>
            </w:pPr>
            <w:r w:rsidRPr="00F5277E">
              <w:t>(a) 2.5 million penalty units; and</w:t>
            </w:r>
          </w:p>
          <w:p w14:paraId="75390872" w14:textId="77777777" w:rsidR="009F090D" w:rsidRPr="00F5277E" w:rsidRDefault="009F090D" w:rsidP="00F0256D">
            <w:pPr>
              <w:pStyle w:val="BoxText"/>
            </w:pPr>
            <w:r w:rsidRPr="00F5277E">
              <w:t>(b) the greater of:</w:t>
            </w:r>
          </w:p>
          <w:p w14:paraId="2805EDBC" w14:textId="77777777" w:rsidR="009F090D" w:rsidRPr="00F5277E" w:rsidRDefault="009F090D" w:rsidP="00F0256D">
            <w:pPr>
              <w:pStyle w:val="BoxText"/>
              <w:ind w:left="373"/>
            </w:pPr>
            <w:r w:rsidRPr="00F5277E">
              <w:t>(</w:t>
            </w:r>
            <w:proofErr w:type="spellStart"/>
            <w:r w:rsidRPr="00F5277E">
              <w:t>i</w:t>
            </w:r>
            <w:proofErr w:type="spellEnd"/>
            <w:r w:rsidRPr="00F5277E">
              <w:t>) 5,000 penalty units (or 50,000 penalty units if the person is a corporation); or</w:t>
            </w:r>
          </w:p>
          <w:p w14:paraId="067E0391" w14:textId="77777777" w:rsidR="009F090D" w:rsidRPr="00F5277E" w:rsidRDefault="009F090D" w:rsidP="00F0256D">
            <w:pPr>
              <w:pStyle w:val="BoxText"/>
              <w:ind w:left="373"/>
            </w:pPr>
            <w:r w:rsidRPr="00F5277E">
              <w:t>(ii) 75% of the value of the investment.</w:t>
            </w:r>
          </w:p>
          <w:p w14:paraId="2B5B82FB"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(when the investor applies for an exemption certificate, s98B of the Act):</w:t>
            </w:r>
          </w:p>
          <w:p w14:paraId="70BC9E96" w14:textId="77777777" w:rsidR="009F090D" w:rsidRPr="00F5277E" w:rsidRDefault="009F090D" w:rsidP="00F0256D">
            <w:pPr>
              <w:pStyle w:val="BoxText"/>
            </w:pPr>
            <w:r w:rsidRPr="00F5277E">
              <w:t>5,000 penalty units (or 50,000 penalty units if the person is a corporation).</w:t>
            </w:r>
          </w:p>
        </w:tc>
      </w:tr>
      <w:tr w:rsidR="009F090D" w:rsidRPr="00F5277E" w14:paraId="3F502B10" w14:textId="77777777" w:rsidTr="00A01F7F">
        <w:tc>
          <w:tcPr>
            <w:tcW w:w="998" w:type="pct"/>
            <w:vMerge/>
            <w:vAlign w:val="center"/>
          </w:tcPr>
          <w:p w14:paraId="627D377B"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78C64ED5" w14:textId="70D90398"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discloses their breach):</w:t>
            </w:r>
          </w:p>
          <w:p w14:paraId="6ACB49D2" w14:textId="77777777" w:rsidR="009F090D" w:rsidRPr="00F5277E" w:rsidRDefault="009F090D" w:rsidP="00F0256D">
            <w:pPr>
              <w:pStyle w:val="BoxText"/>
            </w:pPr>
            <w:r w:rsidRPr="00F5277E">
              <w:t>12 penalty units (or 60 penalty units if the person is a corporation).</w:t>
            </w:r>
          </w:p>
          <w:p w14:paraId="13DBF4A7"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 (may be applied when the value of the land is &lt;$5 million):</w:t>
            </w:r>
          </w:p>
          <w:p w14:paraId="78456BC7" w14:textId="77777777" w:rsidR="009F090D" w:rsidRPr="00F5277E" w:rsidRDefault="009F090D" w:rsidP="00F0256D">
            <w:pPr>
              <w:pStyle w:val="BoxText"/>
            </w:pPr>
            <w:r w:rsidRPr="00F5277E">
              <w:t>60 penalty units (or 300 penalty units if the person is a corporation).</w:t>
            </w:r>
          </w:p>
          <w:p w14:paraId="1A44AB94"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 (may be applied when the value of the land is &gt;$5 million):</w:t>
            </w:r>
          </w:p>
          <w:p w14:paraId="57771106" w14:textId="77777777" w:rsidR="009F090D" w:rsidRPr="00F5277E" w:rsidRDefault="009F090D" w:rsidP="00F0256D">
            <w:pPr>
              <w:pStyle w:val="BoxText"/>
            </w:pPr>
            <w:r w:rsidRPr="00F5277E">
              <w:t>300 penalty units (or 1,500 penalty units if the person is a corporation).</w:t>
            </w:r>
          </w:p>
          <w:p w14:paraId="67A0B664" w14:textId="77777777" w:rsidR="009F090D" w:rsidRDefault="009F090D" w:rsidP="00D11EC8">
            <w:pPr>
              <w:rPr>
                <w:rFonts w:cs="Calibri Light"/>
                <w:szCs w:val="22"/>
              </w:rPr>
            </w:pPr>
            <w:r w:rsidRPr="00A01F7F">
              <w:rPr>
                <w:rFonts w:cs="Calibri Light"/>
                <w:szCs w:val="22"/>
              </w:rPr>
              <w:t>See s100 of the Act.</w:t>
            </w:r>
          </w:p>
          <w:p w14:paraId="48A22538" w14:textId="77777777" w:rsidR="006D24D7" w:rsidRDefault="006D24D7" w:rsidP="00D11EC8">
            <w:pPr>
              <w:rPr>
                <w:rFonts w:cs="Calibri Light"/>
                <w:szCs w:val="22"/>
              </w:rPr>
            </w:pPr>
          </w:p>
          <w:p w14:paraId="29099712" w14:textId="77777777" w:rsidR="006D24D7" w:rsidRDefault="006D24D7" w:rsidP="00D11EC8">
            <w:pPr>
              <w:rPr>
                <w:rFonts w:cs="Calibri Light"/>
                <w:szCs w:val="22"/>
              </w:rPr>
            </w:pPr>
          </w:p>
          <w:p w14:paraId="0DD4FF3B" w14:textId="77777777" w:rsidR="006D24D7" w:rsidRPr="00A01F7F" w:rsidRDefault="006D24D7" w:rsidP="00D11EC8">
            <w:pPr>
              <w:rPr>
                <w:rFonts w:cs="Calibri Light"/>
                <w:szCs w:val="22"/>
              </w:rPr>
            </w:pPr>
          </w:p>
        </w:tc>
      </w:tr>
      <w:tr w:rsidR="009F090D" w:rsidRPr="00F5277E" w14:paraId="21029C67" w14:textId="77777777" w:rsidTr="00A01F7F">
        <w:trPr>
          <w:cantSplit/>
        </w:trPr>
        <w:tc>
          <w:tcPr>
            <w:tcW w:w="998" w:type="pct"/>
            <w:vMerge w:val="restart"/>
            <w:vAlign w:val="center"/>
          </w:tcPr>
          <w:p w14:paraId="0190DA3C" w14:textId="77777777" w:rsidR="009F090D" w:rsidRPr="00F5277E" w:rsidRDefault="009F090D" w:rsidP="00D96627">
            <w:pPr>
              <w:pStyle w:val="BoxText"/>
            </w:pPr>
            <w:r w:rsidRPr="00F5277E">
              <w:lastRenderedPageBreak/>
              <w:t xml:space="preserve">Engaging in conduct that contravenes an order made by the Treasurer under Part 3 of the </w:t>
            </w:r>
            <w:r>
              <w:t>Act</w:t>
            </w:r>
            <w:r w:rsidRPr="00F5277E">
              <w:t xml:space="preserve"> (e.g. an order prohibiting the acquisition of residential land, or an order requiring the disposal of a residential property)</w:t>
            </w:r>
          </w:p>
        </w:tc>
        <w:tc>
          <w:tcPr>
            <w:tcW w:w="4002" w:type="pct"/>
            <w:tcBorders>
              <w:right w:val="single" w:sz="4" w:space="0" w:color="auto"/>
            </w:tcBorders>
            <w:vAlign w:val="center"/>
          </w:tcPr>
          <w:p w14:paraId="2D10E5F9"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criminal penalty (s86 of the Act):</w:t>
            </w:r>
          </w:p>
          <w:p w14:paraId="7C534172" w14:textId="77777777" w:rsidR="009F090D" w:rsidRPr="00F5277E" w:rsidRDefault="009F090D" w:rsidP="00F0256D">
            <w:pPr>
              <w:pStyle w:val="BoxText"/>
            </w:pPr>
            <w:r w:rsidRPr="00F5277E">
              <w:t>Imprisonment for 10 years, or 15,000 penalty units (or 150,000 penalty units if the person is a corporation), or both.</w:t>
            </w:r>
          </w:p>
        </w:tc>
      </w:tr>
      <w:tr w:rsidR="009F090D" w:rsidRPr="00F5277E" w14:paraId="2B5FC61F" w14:textId="77777777" w:rsidTr="00A01F7F">
        <w:tc>
          <w:tcPr>
            <w:tcW w:w="998" w:type="pct"/>
            <w:vMerge/>
            <w:vAlign w:val="center"/>
          </w:tcPr>
          <w:p w14:paraId="7C36DF86"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602A1C27"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(s89 of the Act):</w:t>
            </w:r>
          </w:p>
          <w:p w14:paraId="4A86E367" w14:textId="77777777" w:rsidR="009F090D" w:rsidRPr="00F5277E" w:rsidRDefault="009F090D" w:rsidP="00F0256D">
            <w:pPr>
              <w:pStyle w:val="BoxText"/>
            </w:pPr>
            <w:r w:rsidRPr="00F5277E">
              <w:t>The lesser of:</w:t>
            </w:r>
          </w:p>
          <w:p w14:paraId="33CEBB17" w14:textId="77777777" w:rsidR="009F090D" w:rsidRPr="00F5277E" w:rsidRDefault="009F090D" w:rsidP="00F0256D">
            <w:pPr>
              <w:pStyle w:val="BoxText"/>
            </w:pPr>
            <w:r w:rsidRPr="00F5277E">
              <w:t>(a) 2.5 million penalty units; and</w:t>
            </w:r>
          </w:p>
          <w:p w14:paraId="1CEC1E93" w14:textId="77777777" w:rsidR="009F090D" w:rsidRPr="00F5277E" w:rsidRDefault="009F090D" w:rsidP="00F0256D">
            <w:pPr>
              <w:pStyle w:val="BoxText"/>
            </w:pPr>
            <w:r w:rsidRPr="00F5277E">
              <w:t>(b) the greater of:</w:t>
            </w:r>
          </w:p>
          <w:p w14:paraId="295DB03D" w14:textId="77777777" w:rsidR="009F090D" w:rsidRPr="00F5277E" w:rsidRDefault="009F090D" w:rsidP="00F0256D">
            <w:pPr>
              <w:pStyle w:val="BoxText"/>
              <w:ind w:left="373"/>
            </w:pPr>
            <w:r w:rsidRPr="00F5277E">
              <w:t>(</w:t>
            </w:r>
            <w:proofErr w:type="spellStart"/>
            <w:r w:rsidRPr="00F5277E">
              <w:t>i</w:t>
            </w:r>
            <w:proofErr w:type="spellEnd"/>
            <w:r w:rsidRPr="00F5277E">
              <w:t>) 5,000 penalty units (or 50,000 penalty units if the person is a corporation); or</w:t>
            </w:r>
          </w:p>
          <w:p w14:paraId="0A3EEEE7" w14:textId="77777777" w:rsidR="009F090D" w:rsidRPr="00F5277E" w:rsidRDefault="009F090D" w:rsidP="00F0256D">
            <w:pPr>
              <w:pStyle w:val="BoxText"/>
              <w:ind w:left="373"/>
            </w:pPr>
            <w:r w:rsidRPr="00F5277E">
              <w:t>(ii) 75% of the value of the investment.</w:t>
            </w:r>
          </w:p>
        </w:tc>
      </w:tr>
      <w:tr w:rsidR="009F090D" w:rsidRPr="00F5277E" w14:paraId="72C514E8" w14:textId="77777777" w:rsidTr="00A01F7F">
        <w:tc>
          <w:tcPr>
            <w:tcW w:w="998" w:type="pct"/>
            <w:vMerge/>
            <w:vAlign w:val="center"/>
          </w:tcPr>
          <w:p w14:paraId="14406191"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04EBA40A" w14:textId="54E78AEA"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discloses their breach):</w:t>
            </w:r>
          </w:p>
          <w:p w14:paraId="5F00B520" w14:textId="77777777" w:rsidR="009F090D" w:rsidRPr="00F5277E" w:rsidRDefault="009F090D" w:rsidP="00F0256D">
            <w:pPr>
              <w:pStyle w:val="BoxText"/>
            </w:pPr>
            <w:r w:rsidRPr="00F5277E">
              <w:t>12 penalty units (or 60 penalty units if the person is a corporation).</w:t>
            </w:r>
          </w:p>
          <w:p w14:paraId="39316DE2"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 (may be applied when the value of the land is &lt;$5 million):</w:t>
            </w:r>
          </w:p>
          <w:p w14:paraId="3851481A" w14:textId="77777777" w:rsidR="009F090D" w:rsidRPr="00F5277E" w:rsidRDefault="009F090D" w:rsidP="00F0256D">
            <w:pPr>
              <w:pStyle w:val="BoxText"/>
            </w:pPr>
            <w:r w:rsidRPr="00F5277E">
              <w:t>60 penalty units (or 300 penalty units if the person is a corporation).</w:t>
            </w:r>
          </w:p>
          <w:p w14:paraId="2147CE7C"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 (may be applied when the value of the land is &gt;$5 million):</w:t>
            </w:r>
          </w:p>
          <w:p w14:paraId="5AC937FF" w14:textId="77777777" w:rsidR="009F090D" w:rsidRPr="00F5277E" w:rsidRDefault="009F090D" w:rsidP="00F0256D">
            <w:pPr>
              <w:pStyle w:val="BoxText"/>
            </w:pPr>
            <w:r w:rsidRPr="00F5277E">
              <w:t>300 penalty units (or 1,500 penalty units if the person is a corporation).</w:t>
            </w:r>
          </w:p>
          <w:p w14:paraId="74762061" w14:textId="77777777" w:rsidR="009F090D" w:rsidRPr="00F5277E" w:rsidRDefault="009F090D" w:rsidP="00F0256D">
            <w:pPr>
              <w:pStyle w:val="BoxText"/>
            </w:pPr>
            <w:r w:rsidRPr="00F5277E">
              <w:t>See s100 of the Act.</w:t>
            </w:r>
          </w:p>
        </w:tc>
      </w:tr>
      <w:tr w:rsidR="009F090D" w:rsidRPr="00F5277E" w14:paraId="5099D9E6" w14:textId="77777777" w:rsidTr="00A01F7F">
        <w:tc>
          <w:tcPr>
            <w:tcW w:w="998" w:type="pct"/>
            <w:vMerge w:val="restart"/>
            <w:vAlign w:val="center"/>
          </w:tcPr>
          <w:p w14:paraId="1B2F0D81" w14:textId="686E3D90" w:rsidR="009F090D" w:rsidRPr="00A01F7F" w:rsidRDefault="009F090D" w:rsidP="00D96627">
            <w:pPr>
              <w:rPr>
                <w:rFonts w:cs="Calibri Light"/>
                <w:szCs w:val="22"/>
              </w:rPr>
            </w:pPr>
            <w:r w:rsidRPr="00A01F7F">
              <w:rPr>
                <w:rFonts w:cs="Calibri Light"/>
                <w:szCs w:val="22"/>
              </w:rPr>
              <w:t>Engaging in conduct that contravenes a condition applied to a no objection notification, notice imposing conditions, or in an exemption certificate relating to residential land</w:t>
            </w:r>
          </w:p>
        </w:tc>
        <w:tc>
          <w:tcPr>
            <w:tcW w:w="4002" w:type="pct"/>
            <w:tcBorders>
              <w:right w:val="single" w:sz="4" w:space="0" w:color="auto"/>
            </w:tcBorders>
            <w:vAlign w:val="center"/>
          </w:tcPr>
          <w:p w14:paraId="7725C502"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criminal penalty (s87 and 88 of the Act):</w:t>
            </w:r>
          </w:p>
          <w:p w14:paraId="7F03D1F0" w14:textId="77777777" w:rsidR="009F090D" w:rsidRPr="00F5277E" w:rsidRDefault="009F090D" w:rsidP="00F0256D">
            <w:pPr>
              <w:pStyle w:val="BoxText"/>
            </w:pPr>
            <w:r w:rsidRPr="00F5277E">
              <w:t>Imprisonment for 10 years, or 15,000 penalty units (or 150,000 penalty units if the person is a corporation), or both.</w:t>
            </w:r>
          </w:p>
        </w:tc>
      </w:tr>
      <w:tr w:rsidR="009F090D" w:rsidRPr="00F5277E" w14:paraId="44534CBF" w14:textId="77777777" w:rsidTr="00A01F7F">
        <w:tc>
          <w:tcPr>
            <w:tcW w:w="998" w:type="pct"/>
            <w:vMerge/>
            <w:vAlign w:val="center"/>
          </w:tcPr>
          <w:p w14:paraId="3949342E"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4863AA91"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(when the investor fails to notify of an approved acquisition or sale, or fails to advertise the sale in Australia, s97 of the Act):</w:t>
            </w:r>
          </w:p>
          <w:p w14:paraId="32935F0F" w14:textId="770B5D33" w:rsidR="009F090D" w:rsidRPr="00F5277E" w:rsidRDefault="003A483D" w:rsidP="00F0256D">
            <w:pPr>
              <w:pStyle w:val="BoxText"/>
            </w:pPr>
            <w:r>
              <w:t>500</w:t>
            </w:r>
            <w:r w:rsidR="009F090D" w:rsidRPr="00F5277E">
              <w:t xml:space="preserve"> penalty units</w:t>
            </w:r>
          </w:p>
          <w:p w14:paraId="5AB288E1"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(when the investor breaches any other condition, s96 of the Act):</w:t>
            </w:r>
          </w:p>
          <w:p w14:paraId="0E3A160E" w14:textId="77777777" w:rsidR="009F090D" w:rsidRPr="00F5277E" w:rsidRDefault="009F090D" w:rsidP="00F0256D">
            <w:pPr>
              <w:pStyle w:val="BoxText"/>
            </w:pPr>
            <w:r w:rsidRPr="00F5277E">
              <w:t>The greatest of:</w:t>
            </w:r>
          </w:p>
          <w:p w14:paraId="656CC34B" w14:textId="4437DFB2" w:rsidR="009F090D" w:rsidRPr="00F5277E" w:rsidRDefault="009F090D" w:rsidP="00F0256D">
            <w:pPr>
              <w:pStyle w:val="BoxText"/>
            </w:pPr>
            <w:r w:rsidRPr="00F5277E">
              <w:t xml:space="preserve">(a) </w:t>
            </w:r>
            <w:r w:rsidR="003A483D">
              <w:t xml:space="preserve">double </w:t>
            </w:r>
            <w:r w:rsidRPr="00F5277E">
              <w:t xml:space="preserve">the amount of the capital gain that was made or would be made on the disposal of the relevant residential </w:t>
            </w:r>
            <w:proofErr w:type="gramStart"/>
            <w:r w:rsidRPr="00F5277E">
              <w:t>land;</w:t>
            </w:r>
            <w:proofErr w:type="gramEnd"/>
            <w:r w:rsidRPr="00F5277E">
              <w:t xml:space="preserve"> </w:t>
            </w:r>
          </w:p>
          <w:p w14:paraId="188CF488" w14:textId="0A0364E4" w:rsidR="009F090D" w:rsidRPr="00F5277E" w:rsidRDefault="009F090D" w:rsidP="00F0256D">
            <w:pPr>
              <w:pStyle w:val="BoxText"/>
            </w:pPr>
            <w:r w:rsidRPr="00F5277E">
              <w:t xml:space="preserve">(b) </w:t>
            </w:r>
            <w:r w:rsidR="003A483D">
              <w:t>50</w:t>
            </w:r>
            <w:r w:rsidRPr="00F5277E">
              <w:t>% of the consideration; and</w:t>
            </w:r>
          </w:p>
          <w:p w14:paraId="1EC8066F" w14:textId="3F423FF1" w:rsidR="009F090D" w:rsidRDefault="009F090D" w:rsidP="00F0256D">
            <w:pPr>
              <w:pStyle w:val="BoxText"/>
            </w:pPr>
            <w:r w:rsidRPr="00F5277E">
              <w:t xml:space="preserve">(c) </w:t>
            </w:r>
            <w:r w:rsidR="003A483D">
              <w:t>50</w:t>
            </w:r>
            <w:r w:rsidRPr="00F5277E">
              <w:t>% of the market value of the relevant residential land.</w:t>
            </w:r>
          </w:p>
          <w:p w14:paraId="479FE637" w14:textId="77777777" w:rsidR="00CE590E" w:rsidRDefault="00CE590E" w:rsidP="00F0256D">
            <w:pPr>
              <w:pStyle w:val="BoxText"/>
            </w:pPr>
          </w:p>
          <w:p w14:paraId="60715DC9" w14:textId="77777777" w:rsidR="00CE590E" w:rsidRDefault="00CE590E" w:rsidP="00F0256D">
            <w:pPr>
              <w:pStyle w:val="BoxText"/>
            </w:pPr>
          </w:p>
          <w:p w14:paraId="7CC6FD8A" w14:textId="77777777" w:rsidR="00CE590E" w:rsidRDefault="00CE590E" w:rsidP="00F0256D">
            <w:pPr>
              <w:pStyle w:val="BoxText"/>
            </w:pPr>
          </w:p>
          <w:p w14:paraId="728DC88A" w14:textId="5BD690DB" w:rsidR="00CE590E" w:rsidRPr="00F5277E" w:rsidRDefault="00CE590E" w:rsidP="00F0256D">
            <w:pPr>
              <w:pStyle w:val="BoxText"/>
            </w:pPr>
          </w:p>
        </w:tc>
      </w:tr>
      <w:tr w:rsidR="009F090D" w:rsidRPr="00F5277E" w14:paraId="15217886" w14:textId="77777777" w:rsidTr="00A01F7F">
        <w:tc>
          <w:tcPr>
            <w:tcW w:w="998" w:type="pct"/>
            <w:vMerge/>
            <w:vAlign w:val="center"/>
          </w:tcPr>
          <w:p w14:paraId="4AB4038B"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76F8C243" w14:textId="2AD33D6D"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disclosures their breach):</w:t>
            </w:r>
          </w:p>
          <w:p w14:paraId="40416B37" w14:textId="77777777" w:rsidR="009F090D" w:rsidRPr="00F5277E" w:rsidRDefault="009F090D" w:rsidP="00F0256D">
            <w:pPr>
              <w:pStyle w:val="BoxText"/>
            </w:pPr>
            <w:r w:rsidRPr="00F5277E">
              <w:t>12 penalty units (or 60 penalty units if the person is a corporation).</w:t>
            </w:r>
          </w:p>
          <w:p w14:paraId="28BB05F5"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 (may be applied when the value of the land is &lt;$5 million):</w:t>
            </w:r>
          </w:p>
          <w:p w14:paraId="29E04DD7" w14:textId="77777777" w:rsidR="009F090D" w:rsidRPr="00F5277E" w:rsidRDefault="009F090D" w:rsidP="00F0256D">
            <w:pPr>
              <w:pStyle w:val="BoxText"/>
            </w:pPr>
            <w:r w:rsidRPr="00F5277E">
              <w:t>60 penalty units (or 300 penalty units if the person is a corporation).</w:t>
            </w:r>
          </w:p>
          <w:p w14:paraId="1D16EFAC"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 (may be applied when the value of the land is &gt;$5 million):</w:t>
            </w:r>
          </w:p>
          <w:p w14:paraId="13F566AA" w14:textId="77777777" w:rsidR="009F090D" w:rsidRPr="00F5277E" w:rsidRDefault="009F090D" w:rsidP="00F0256D">
            <w:pPr>
              <w:pStyle w:val="BoxText"/>
            </w:pPr>
            <w:r w:rsidRPr="00F5277E">
              <w:t>300 penalty units (or 1,500 penalty units if the person is a corporation).</w:t>
            </w:r>
          </w:p>
          <w:p w14:paraId="48703EAE" w14:textId="77777777" w:rsidR="009F090D" w:rsidRPr="00F5277E" w:rsidRDefault="009F090D" w:rsidP="00F0256D">
            <w:pPr>
              <w:pStyle w:val="BoxText"/>
            </w:pPr>
            <w:r w:rsidRPr="00F5277E">
              <w:t>See s100 of the Act.</w:t>
            </w:r>
          </w:p>
        </w:tc>
      </w:tr>
      <w:tr w:rsidR="009F090D" w:rsidRPr="00F5277E" w14:paraId="59EAE13F" w14:textId="77777777" w:rsidTr="00A01F7F">
        <w:tc>
          <w:tcPr>
            <w:tcW w:w="998" w:type="pct"/>
            <w:vMerge w:val="restart"/>
            <w:vAlign w:val="center"/>
          </w:tcPr>
          <w:p w14:paraId="401961F4" w14:textId="77777777" w:rsidR="009F090D" w:rsidRPr="00F5277E" w:rsidRDefault="009F090D" w:rsidP="00D96627">
            <w:pPr>
              <w:pStyle w:val="BoxText"/>
            </w:pPr>
            <w:r w:rsidRPr="00F5277E">
              <w:t>Engaging in conduct that contravenes a direction or interim direction given by the Treasurer relating to residential land (e.g. an order to cease a certain activity)</w:t>
            </w:r>
          </w:p>
        </w:tc>
        <w:tc>
          <w:tcPr>
            <w:tcW w:w="4002" w:type="pct"/>
            <w:tcBorders>
              <w:right w:val="single" w:sz="4" w:space="0" w:color="auto"/>
            </w:tcBorders>
            <w:vAlign w:val="center"/>
          </w:tcPr>
          <w:p w14:paraId="28CFAD1A"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criminal penalty (s88A of the Act):</w:t>
            </w:r>
          </w:p>
          <w:p w14:paraId="423081A8" w14:textId="77777777" w:rsidR="009F090D" w:rsidRPr="00F5277E" w:rsidRDefault="009F090D" w:rsidP="00360AEB">
            <w:pPr>
              <w:pStyle w:val="BoxText"/>
            </w:pPr>
            <w:r w:rsidRPr="00F5277E">
              <w:t>Imprisonment for 10 years, or 15,000 penalty units (or 150,000 penalty units if the person is a corporation), or both.</w:t>
            </w:r>
          </w:p>
        </w:tc>
      </w:tr>
      <w:tr w:rsidR="009F090D" w:rsidRPr="00F5277E" w14:paraId="7E223AA2" w14:textId="77777777" w:rsidTr="00A01F7F">
        <w:tc>
          <w:tcPr>
            <w:tcW w:w="998" w:type="pct"/>
            <w:vMerge/>
            <w:vAlign w:val="center"/>
          </w:tcPr>
          <w:p w14:paraId="22D01836"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243D9FCB"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(s98A of the Act):</w:t>
            </w:r>
          </w:p>
          <w:p w14:paraId="6B27EFDB" w14:textId="77777777" w:rsidR="009F090D" w:rsidRPr="00F5277E" w:rsidRDefault="009F090D" w:rsidP="00360AEB">
            <w:pPr>
              <w:pStyle w:val="BoxText"/>
            </w:pPr>
            <w:r w:rsidRPr="00F5277E">
              <w:t>The lesser of:</w:t>
            </w:r>
          </w:p>
          <w:p w14:paraId="76299ED7" w14:textId="77777777" w:rsidR="009F090D" w:rsidRPr="00F5277E" w:rsidRDefault="009F090D" w:rsidP="00360AEB">
            <w:pPr>
              <w:pStyle w:val="BoxText"/>
            </w:pPr>
            <w:r w:rsidRPr="00F5277E">
              <w:t>(a) 2.5 million penalty units; and</w:t>
            </w:r>
          </w:p>
          <w:p w14:paraId="35BF88BB" w14:textId="77777777" w:rsidR="009F090D" w:rsidRPr="00F5277E" w:rsidRDefault="009F090D" w:rsidP="00360AEB">
            <w:pPr>
              <w:pStyle w:val="BoxText"/>
            </w:pPr>
            <w:r w:rsidRPr="00F5277E">
              <w:t>(b) the greater of:</w:t>
            </w:r>
          </w:p>
          <w:p w14:paraId="0FED33B2" w14:textId="77777777" w:rsidR="009F090D" w:rsidRPr="00F5277E" w:rsidRDefault="009F090D" w:rsidP="00360AEB">
            <w:pPr>
              <w:pStyle w:val="BoxText"/>
              <w:ind w:left="373"/>
            </w:pPr>
            <w:r w:rsidRPr="00F5277E">
              <w:t>(</w:t>
            </w:r>
            <w:proofErr w:type="spellStart"/>
            <w:r w:rsidRPr="00F5277E">
              <w:t>i</w:t>
            </w:r>
            <w:proofErr w:type="spellEnd"/>
            <w:r w:rsidRPr="00F5277E">
              <w:t>) 5,000 penalty units (or 50,000 penalty units if the person is a corporation); or</w:t>
            </w:r>
          </w:p>
          <w:p w14:paraId="19E4EB43" w14:textId="77777777" w:rsidR="009F090D" w:rsidRPr="00F5277E" w:rsidRDefault="009F090D" w:rsidP="00360AEB">
            <w:pPr>
              <w:pStyle w:val="BoxText"/>
              <w:ind w:left="373"/>
            </w:pPr>
            <w:r w:rsidRPr="00F5277E">
              <w:t>(ii) 75% of the value of the investment.</w:t>
            </w:r>
          </w:p>
        </w:tc>
      </w:tr>
      <w:tr w:rsidR="009F090D" w:rsidRPr="00F5277E" w14:paraId="7AF7A037" w14:textId="77777777" w:rsidTr="00A01F7F">
        <w:tc>
          <w:tcPr>
            <w:tcW w:w="998" w:type="pct"/>
            <w:vMerge/>
            <w:vAlign w:val="center"/>
          </w:tcPr>
          <w:p w14:paraId="02305C21"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144B1A75" w14:textId="5D9614E3"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discloses their breach):</w:t>
            </w:r>
          </w:p>
          <w:p w14:paraId="2042C463" w14:textId="77777777" w:rsidR="009F090D" w:rsidRPr="00F5277E" w:rsidRDefault="009F090D" w:rsidP="00360AEB">
            <w:pPr>
              <w:pStyle w:val="BoxText"/>
            </w:pPr>
            <w:r w:rsidRPr="00F5277E">
              <w:t>12 penalty units (or 60 penalty units if the person is a corporation).</w:t>
            </w:r>
          </w:p>
          <w:p w14:paraId="3C74D831"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 (may be applied when the value of the land is &lt;$5 million):</w:t>
            </w:r>
          </w:p>
          <w:p w14:paraId="69969B8D" w14:textId="77777777" w:rsidR="009F090D" w:rsidRPr="00F5277E" w:rsidRDefault="009F090D" w:rsidP="00360AEB">
            <w:pPr>
              <w:pStyle w:val="BoxText"/>
            </w:pPr>
            <w:r w:rsidRPr="00F5277E">
              <w:t>60 penalty units (or 300 penalty units if the person is a corporation).</w:t>
            </w:r>
          </w:p>
          <w:p w14:paraId="51DA6290"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 (may be applied when the value of the land is &gt;$5 million):</w:t>
            </w:r>
          </w:p>
          <w:p w14:paraId="42040F32" w14:textId="77777777" w:rsidR="009F090D" w:rsidRPr="00F5277E" w:rsidRDefault="009F090D" w:rsidP="00360AEB">
            <w:pPr>
              <w:pStyle w:val="BoxText"/>
            </w:pPr>
            <w:r w:rsidRPr="00F5277E">
              <w:t>300 penalty units (or 1,500 penalty units if the person is a corporation).</w:t>
            </w:r>
          </w:p>
          <w:p w14:paraId="30C7C5AF" w14:textId="77777777" w:rsidR="009F090D" w:rsidRPr="00F5277E" w:rsidRDefault="009F090D" w:rsidP="00360AEB">
            <w:pPr>
              <w:pStyle w:val="BoxText"/>
            </w:pPr>
            <w:r w:rsidRPr="00F5277E">
              <w:t>See s100 of the Act.</w:t>
            </w:r>
          </w:p>
        </w:tc>
      </w:tr>
      <w:tr w:rsidR="009F090D" w:rsidRPr="00F5277E" w14:paraId="6BA300DB" w14:textId="77777777" w:rsidTr="00A01F7F">
        <w:trPr>
          <w:cantSplit/>
        </w:trPr>
        <w:tc>
          <w:tcPr>
            <w:tcW w:w="998" w:type="pct"/>
            <w:vMerge w:val="restart"/>
            <w:vAlign w:val="center"/>
          </w:tcPr>
          <w:p w14:paraId="5455BC5F" w14:textId="1EE01846" w:rsidR="009F090D" w:rsidRPr="00273B23" w:rsidRDefault="009F090D" w:rsidP="00D96627">
            <w:pPr>
              <w:pStyle w:val="BoxText"/>
            </w:pPr>
            <w:r w:rsidRPr="00F5277E">
              <w:t xml:space="preserve">Failing to comply with a national security </w:t>
            </w:r>
            <w:r w:rsidR="005B38AB">
              <w:t>review</w:t>
            </w:r>
            <w:r w:rsidRPr="00F5277E">
              <w:t xml:space="preserve"> notice from the Treasurer relating to residential land (e.g. prohibiting an acquisition of </w:t>
            </w:r>
            <w:r w:rsidRPr="00F5277E">
              <w:lastRenderedPageBreak/>
              <w:t>residential land while a national security review is completed)</w:t>
            </w:r>
          </w:p>
        </w:tc>
        <w:tc>
          <w:tcPr>
            <w:tcW w:w="4002" w:type="pct"/>
            <w:tcBorders>
              <w:right w:val="single" w:sz="4" w:space="0" w:color="auto"/>
            </w:tcBorders>
            <w:vAlign w:val="center"/>
          </w:tcPr>
          <w:p w14:paraId="7828760E"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lastRenderedPageBreak/>
              <w:t>Maximum criminal penalty (s85A of the Act):</w:t>
            </w:r>
          </w:p>
          <w:p w14:paraId="3EA09D12" w14:textId="77777777" w:rsidR="009F090D" w:rsidRDefault="009F090D" w:rsidP="00273B23">
            <w:pPr>
              <w:pStyle w:val="BoxText"/>
            </w:pPr>
            <w:r w:rsidRPr="00F5277E">
              <w:t>Imprisonment for 10 years, or 15,000 penalty units (or 150,000 penalty units if the person is a corporation), or both.</w:t>
            </w:r>
          </w:p>
          <w:p w14:paraId="523B876E" w14:textId="77777777" w:rsidR="00CE590E" w:rsidRDefault="00CE590E" w:rsidP="00273B23">
            <w:pPr>
              <w:pStyle w:val="BoxText"/>
            </w:pPr>
          </w:p>
          <w:p w14:paraId="632EB2CF" w14:textId="77777777" w:rsidR="00CE590E" w:rsidRDefault="00CE590E" w:rsidP="00273B23">
            <w:pPr>
              <w:pStyle w:val="BoxText"/>
            </w:pPr>
          </w:p>
          <w:p w14:paraId="37175AA2" w14:textId="77777777" w:rsidR="00CE590E" w:rsidRDefault="00CE590E" w:rsidP="00273B23">
            <w:pPr>
              <w:pStyle w:val="BoxText"/>
            </w:pPr>
          </w:p>
          <w:p w14:paraId="3DB131AE" w14:textId="77777777" w:rsidR="00CE590E" w:rsidRDefault="00CE590E" w:rsidP="00273B23">
            <w:pPr>
              <w:pStyle w:val="BoxText"/>
            </w:pPr>
          </w:p>
          <w:p w14:paraId="4345E65B" w14:textId="77777777" w:rsidR="00CE590E" w:rsidRPr="00F5277E" w:rsidRDefault="00CE590E" w:rsidP="00273B23">
            <w:pPr>
              <w:pStyle w:val="BoxText"/>
            </w:pPr>
          </w:p>
        </w:tc>
      </w:tr>
      <w:tr w:rsidR="009F090D" w:rsidRPr="00F5277E" w14:paraId="7D789413" w14:textId="77777777" w:rsidTr="00A01F7F">
        <w:tc>
          <w:tcPr>
            <w:tcW w:w="998" w:type="pct"/>
            <w:vMerge/>
            <w:vAlign w:val="center"/>
          </w:tcPr>
          <w:p w14:paraId="6764BC8E"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1EA27C1D"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(s95A of the Act):</w:t>
            </w:r>
          </w:p>
          <w:p w14:paraId="5A8026EC" w14:textId="77777777" w:rsidR="009F090D" w:rsidRPr="00F5277E" w:rsidRDefault="009F090D" w:rsidP="00273B23">
            <w:pPr>
              <w:pStyle w:val="BoxText"/>
            </w:pPr>
            <w:r w:rsidRPr="00F5277E">
              <w:t>The greatest of:</w:t>
            </w:r>
          </w:p>
          <w:p w14:paraId="01620308" w14:textId="2E592C25" w:rsidR="009F090D" w:rsidRPr="00F5277E" w:rsidRDefault="009F090D" w:rsidP="00273B23">
            <w:pPr>
              <w:pStyle w:val="BoxText"/>
            </w:pPr>
            <w:r w:rsidRPr="00F5277E">
              <w:t xml:space="preserve">(a) </w:t>
            </w:r>
            <w:r w:rsidR="003A483D">
              <w:t xml:space="preserve">double </w:t>
            </w:r>
            <w:r w:rsidRPr="00F5277E">
              <w:t xml:space="preserve">the amount of the capital gain that was made or would be made on the disposal of the relevant residential </w:t>
            </w:r>
            <w:proofErr w:type="gramStart"/>
            <w:r w:rsidRPr="00F5277E">
              <w:t>land;</w:t>
            </w:r>
            <w:proofErr w:type="gramEnd"/>
            <w:r w:rsidRPr="00F5277E">
              <w:t xml:space="preserve"> </w:t>
            </w:r>
          </w:p>
          <w:p w14:paraId="281AEE79" w14:textId="6B9BD478" w:rsidR="009F090D" w:rsidRPr="00F5277E" w:rsidRDefault="009F090D" w:rsidP="00273B23">
            <w:pPr>
              <w:pStyle w:val="BoxText"/>
            </w:pPr>
            <w:r w:rsidRPr="00F5277E">
              <w:t xml:space="preserve">(b) </w:t>
            </w:r>
            <w:r w:rsidR="003A483D">
              <w:t>50</w:t>
            </w:r>
            <w:r w:rsidRPr="00F5277E">
              <w:t>% of the consideration; and</w:t>
            </w:r>
          </w:p>
          <w:p w14:paraId="2C3B6403" w14:textId="5432EA37" w:rsidR="009F090D" w:rsidRPr="00F5277E" w:rsidRDefault="009F090D" w:rsidP="00273B23">
            <w:pPr>
              <w:pStyle w:val="BoxText"/>
            </w:pPr>
            <w:r w:rsidRPr="00F5277E">
              <w:t xml:space="preserve">(c) </w:t>
            </w:r>
            <w:r w:rsidR="003A483D">
              <w:t>50</w:t>
            </w:r>
            <w:r w:rsidRPr="00F5277E">
              <w:t>% of the market value of the relevant residential land.</w:t>
            </w:r>
          </w:p>
        </w:tc>
      </w:tr>
      <w:tr w:rsidR="009F090D" w:rsidRPr="00F5277E" w14:paraId="172440BE" w14:textId="77777777" w:rsidTr="00A01F7F">
        <w:tc>
          <w:tcPr>
            <w:tcW w:w="998" w:type="pct"/>
            <w:vMerge/>
            <w:vAlign w:val="center"/>
          </w:tcPr>
          <w:p w14:paraId="15D5A251"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3FC0AD9B" w14:textId="12E04CAD"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discloses their breach):</w:t>
            </w:r>
          </w:p>
          <w:p w14:paraId="5DD0E547" w14:textId="77777777" w:rsidR="009F090D" w:rsidRPr="00F5277E" w:rsidRDefault="009F090D" w:rsidP="00273B23">
            <w:pPr>
              <w:pStyle w:val="BoxText"/>
            </w:pPr>
            <w:r w:rsidRPr="00F5277E">
              <w:t>12 penalty units (or 60 penalty units if the person is a corporation).</w:t>
            </w:r>
          </w:p>
          <w:p w14:paraId="31F8CA0F"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 (may be applied when the value of the land is &lt;$5 million):</w:t>
            </w:r>
          </w:p>
          <w:p w14:paraId="306C5F31" w14:textId="77777777" w:rsidR="009F090D" w:rsidRPr="00F5277E" w:rsidRDefault="009F090D" w:rsidP="00273B23">
            <w:pPr>
              <w:pStyle w:val="BoxText"/>
            </w:pPr>
            <w:r w:rsidRPr="00F5277E">
              <w:t>60 penalty units (or 300 penalty units if the person is a corporation).</w:t>
            </w:r>
          </w:p>
          <w:p w14:paraId="488CA80D"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 (may be applied when the value of the land is &gt;$5 million):</w:t>
            </w:r>
          </w:p>
          <w:p w14:paraId="5717DEFA" w14:textId="77777777" w:rsidR="009F090D" w:rsidRPr="00F5277E" w:rsidRDefault="009F090D" w:rsidP="00273B23">
            <w:pPr>
              <w:pStyle w:val="BoxText"/>
            </w:pPr>
            <w:r w:rsidRPr="00F5277E">
              <w:t>300 penalty units (or 1,500 penalty units if the person is a corporation).</w:t>
            </w:r>
          </w:p>
          <w:p w14:paraId="49D1F802" w14:textId="77777777" w:rsidR="009F090D" w:rsidRPr="00F5277E" w:rsidRDefault="009F090D" w:rsidP="00273B23">
            <w:pPr>
              <w:pStyle w:val="BoxText"/>
            </w:pPr>
            <w:r w:rsidRPr="00F5277E">
              <w:t>See s100 of the Act.</w:t>
            </w:r>
          </w:p>
        </w:tc>
      </w:tr>
      <w:tr w:rsidR="009F090D" w:rsidRPr="00F5277E" w14:paraId="0CF01FC8" w14:textId="77777777" w:rsidTr="00A01F7F">
        <w:tc>
          <w:tcPr>
            <w:tcW w:w="998" w:type="pct"/>
            <w:vMerge w:val="restart"/>
            <w:vAlign w:val="center"/>
          </w:tcPr>
          <w:p w14:paraId="64D46E98" w14:textId="77777777" w:rsidR="009F090D" w:rsidRPr="00F5277E" w:rsidRDefault="009F090D" w:rsidP="00D96627">
            <w:pPr>
              <w:pStyle w:val="BoxText"/>
            </w:pPr>
            <w:r w:rsidRPr="00F5277E">
              <w:t>Failing to comply with a notice, given by the Treasurer, to provide information relating to residential land</w:t>
            </w:r>
          </w:p>
        </w:tc>
        <w:tc>
          <w:tcPr>
            <w:tcW w:w="4002" w:type="pct"/>
            <w:tcBorders>
              <w:right w:val="single" w:sz="4" w:space="0" w:color="auto"/>
            </w:tcBorders>
            <w:vAlign w:val="center"/>
          </w:tcPr>
          <w:p w14:paraId="44A3B88D"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criminal penalty (s133 of the Act):</w:t>
            </w:r>
          </w:p>
          <w:p w14:paraId="57EBD250" w14:textId="77777777" w:rsidR="009F090D" w:rsidRPr="00F5277E" w:rsidRDefault="009F090D" w:rsidP="00273B23">
            <w:pPr>
              <w:pStyle w:val="BoxText"/>
            </w:pPr>
            <w:r w:rsidRPr="00F5277E">
              <w:t>Imprisonment for 6 months, or 250 penalty units, or both.</w:t>
            </w:r>
          </w:p>
        </w:tc>
      </w:tr>
      <w:tr w:rsidR="009F090D" w:rsidRPr="00F5277E" w14:paraId="22953D7F" w14:textId="77777777" w:rsidTr="00A01F7F">
        <w:tc>
          <w:tcPr>
            <w:tcW w:w="998" w:type="pct"/>
            <w:vMerge/>
            <w:vAlign w:val="center"/>
          </w:tcPr>
          <w:p w14:paraId="72FFF187"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5FE1B8E2"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w:t>
            </w:r>
          </w:p>
          <w:p w14:paraId="717EA538" w14:textId="77777777" w:rsidR="009F090D" w:rsidRPr="00F5277E" w:rsidRDefault="009F090D" w:rsidP="00273B23">
            <w:pPr>
              <w:pStyle w:val="BoxText"/>
            </w:pPr>
            <w:r w:rsidRPr="00F5277E">
              <w:t>n/a</w:t>
            </w:r>
          </w:p>
        </w:tc>
      </w:tr>
      <w:tr w:rsidR="009F090D" w:rsidRPr="00F5277E" w14:paraId="6972FD37" w14:textId="77777777" w:rsidTr="00A01F7F">
        <w:tc>
          <w:tcPr>
            <w:tcW w:w="998" w:type="pct"/>
            <w:vMerge/>
            <w:vAlign w:val="center"/>
          </w:tcPr>
          <w:p w14:paraId="5264F732" w14:textId="77777777" w:rsidR="009F090D" w:rsidRPr="00F5277E" w:rsidRDefault="009F090D" w:rsidP="00D96627">
            <w:pPr>
              <w:rPr>
                <w:rFonts w:asciiTheme="minorHAnsi" w:hAnsiTheme="minorHAnsi" w:cstheme="minorHAnsi"/>
                <w:szCs w:val="22"/>
              </w:rPr>
            </w:pPr>
          </w:p>
        </w:tc>
        <w:tc>
          <w:tcPr>
            <w:tcW w:w="4002" w:type="pct"/>
            <w:tcBorders>
              <w:right w:val="single" w:sz="4" w:space="0" w:color="auto"/>
            </w:tcBorders>
            <w:vAlign w:val="center"/>
          </w:tcPr>
          <w:p w14:paraId="066C0CA3"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w:t>
            </w:r>
          </w:p>
          <w:p w14:paraId="7A2D8A06" w14:textId="77777777" w:rsidR="009F090D" w:rsidRPr="00F5277E" w:rsidRDefault="009F090D" w:rsidP="00273B23">
            <w:pPr>
              <w:pStyle w:val="BoxText"/>
            </w:pPr>
            <w:r w:rsidRPr="00F5277E">
              <w:t>n/a</w:t>
            </w:r>
          </w:p>
          <w:p w14:paraId="40150CF4"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w:t>
            </w:r>
          </w:p>
          <w:p w14:paraId="029EC163" w14:textId="77777777" w:rsidR="009F090D" w:rsidRPr="00F5277E" w:rsidRDefault="009F090D" w:rsidP="00273B23">
            <w:pPr>
              <w:pStyle w:val="BoxText"/>
            </w:pPr>
            <w:r w:rsidRPr="00F5277E">
              <w:t>n/a</w:t>
            </w:r>
          </w:p>
          <w:p w14:paraId="1F6DB727"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w:t>
            </w:r>
          </w:p>
          <w:p w14:paraId="4F1811E2" w14:textId="77777777" w:rsidR="009F090D" w:rsidRPr="00F5277E" w:rsidRDefault="009F090D" w:rsidP="00273B23">
            <w:pPr>
              <w:pStyle w:val="BoxText"/>
            </w:pPr>
            <w:r w:rsidRPr="00F5277E">
              <w:t>n/a</w:t>
            </w:r>
          </w:p>
        </w:tc>
      </w:tr>
      <w:tr w:rsidR="009F090D" w:rsidRPr="00F5277E" w14:paraId="0371A1E2" w14:textId="77777777" w:rsidTr="00A01F7F">
        <w:trPr>
          <w:cantSplit/>
        </w:trPr>
        <w:tc>
          <w:tcPr>
            <w:tcW w:w="998" w:type="pct"/>
            <w:vMerge w:val="restart"/>
            <w:vAlign w:val="center"/>
          </w:tcPr>
          <w:p w14:paraId="7B691951" w14:textId="32D798B8" w:rsidR="009F090D" w:rsidRPr="00F5277E" w:rsidRDefault="009F090D" w:rsidP="00D96627">
            <w:pPr>
              <w:pStyle w:val="BoxText"/>
            </w:pPr>
            <w:r w:rsidRPr="00F5277E">
              <w:t>Failing to lodge a vacancy fee return on</w:t>
            </w:r>
            <w:r w:rsidR="00186B0D">
              <w:t xml:space="preserve"> </w:t>
            </w:r>
            <w:r w:rsidRPr="00F5277E">
              <w:t>time</w:t>
            </w:r>
          </w:p>
        </w:tc>
        <w:tc>
          <w:tcPr>
            <w:tcW w:w="4002" w:type="pct"/>
            <w:tcBorders>
              <w:right w:val="single" w:sz="4" w:space="0" w:color="auto"/>
            </w:tcBorders>
            <w:vAlign w:val="center"/>
          </w:tcPr>
          <w:p w14:paraId="09FD3FAD"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criminal penalty:</w:t>
            </w:r>
          </w:p>
          <w:p w14:paraId="2D39F5B7" w14:textId="77777777" w:rsidR="009F090D" w:rsidRDefault="009F090D" w:rsidP="00273B23">
            <w:pPr>
              <w:pStyle w:val="BoxText"/>
            </w:pPr>
            <w:r w:rsidRPr="00F5277E">
              <w:t>n/a</w:t>
            </w:r>
          </w:p>
          <w:p w14:paraId="6141CECF" w14:textId="77777777" w:rsidR="00CE590E" w:rsidRDefault="00CE590E" w:rsidP="00273B23">
            <w:pPr>
              <w:pStyle w:val="BoxText"/>
            </w:pPr>
          </w:p>
          <w:p w14:paraId="4B13A340" w14:textId="77777777" w:rsidR="00CE590E" w:rsidRDefault="00CE590E" w:rsidP="00273B23">
            <w:pPr>
              <w:pStyle w:val="BoxText"/>
            </w:pPr>
          </w:p>
          <w:p w14:paraId="59A05951" w14:textId="77777777" w:rsidR="00CE590E" w:rsidRDefault="00CE590E" w:rsidP="00273B23">
            <w:pPr>
              <w:pStyle w:val="BoxText"/>
            </w:pPr>
          </w:p>
          <w:p w14:paraId="6BE80914" w14:textId="77777777" w:rsidR="00CE590E" w:rsidRDefault="00CE590E" w:rsidP="00273B23">
            <w:pPr>
              <w:pStyle w:val="BoxText"/>
            </w:pPr>
          </w:p>
          <w:p w14:paraId="3CFC70B8" w14:textId="77777777" w:rsidR="00CE590E" w:rsidRDefault="00CE590E" w:rsidP="00273B23">
            <w:pPr>
              <w:pStyle w:val="BoxText"/>
            </w:pPr>
          </w:p>
          <w:p w14:paraId="10A43311" w14:textId="77777777" w:rsidR="00CE590E" w:rsidRDefault="00CE590E" w:rsidP="00273B23">
            <w:pPr>
              <w:pStyle w:val="BoxText"/>
            </w:pPr>
          </w:p>
          <w:p w14:paraId="53807E14" w14:textId="77777777" w:rsidR="00CE590E" w:rsidRPr="00F5277E" w:rsidRDefault="00CE590E" w:rsidP="00273B23">
            <w:pPr>
              <w:pStyle w:val="BoxText"/>
            </w:pPr>
          </w:p>
        </w:tc>
      </w:tr>
      <w:tr w:rsidR="009F090D" w:rsidRPr="00F5277E" w14:paraId="153A3166" w14:textId="77777777" w:rsidTr="00A01F7F">
        <w:trPr>
          <w:cantSplit/>
        </w:trPr>
        <w:tc>
          <w:tcPr>
            <w:tcW w:w="998" w:type="pct"/>
            <w:vMerge/>
            <w:vAlign w:val="center"/>
          </w:tcPr>
          <w:p w14:paraId="395BFBB2" w14:textId="77777777" w:rsidR="009F090D" w:rsidRPr="00F5277E" w:rsidRDefault="009F090D" w:rsidP="00D11EC8">
            <w:pPr>
              <w:rPr>
                <w:rFonts w:asciiTheme="minorHAnsi" w:hAnsiTheme="minorHAnsi" w:cstheme="minorHAnsi"/>
                <w:szCs w:val="22"/>
              </w:rPr>
            </w:pPr>
          </w:p>
        </w:tc>
        <w:tc>
          <w:tcPr>
            <w:tcW w:w="4002" w:type="pct"/>
            <w:tcBorders>
              <w:right w:val="single" w:sz="4" w:space="0" w:color="auto"/>
            </w:tcBorders>
            <w:vAlign w:val="center"/>
          </w:tcPr>
          <w:p w14:paraId="18D3B608"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(s115D of the Act):</w:t>
            </w:r>
          </w:p>
          <w:p w14:paraId="0CFB06A2" w14:textId="40502C1A" w:rsidR="009F090D" w:rsidRPr="00F5277E" w:rsidRDefault="00D779D7" w:rsidP="00273B23">
            <w:pPr>
              <w:pStyle w:val="BoxText"/>
            </w:pPr>
            <w:r>
              <w:t>500</w:t>
            </w:r>
            <w:r w:rsidR="009F090D" w:rsidRPr="00F5277E">
              <w:t xml:space="preserve"> penalty units.</w:t>
            </w:r>
          </w:p>
        </w:tc>
      </w:tr>
      <w:tr w:rsidR="009F090D" w:rsidRPr="00F5277E" w14:paraId="3860BA44" w14:textId="77777777" w:rsidTr="00A01F7F">
        <w:trPr>
          <w:cantSplit/>
        </w:trPr>
        <w:tc>
          <w:tcPr>
            <w:tcW w:w="998" w:type="pct"/>
            <w:vMerge/>
            <w:vAlign w:val="center"/>
          </w:tcPr>
          <w:p w14:paraId="7485C089" w14:textId="77777777" w:rsidR="009F090D" w:rsidRPr="00F5277E" w:rsidRDefault="009F090D" w:rsidP="00D11EC8">
            <w:pPr>
              <w:rPr>
                <w:rFonts w:asciiTheme="minorHAnsi" w:hAnsiTheme="minorHAnsi" w:cstheme="minorHAnsi"/>
                <w:szCs w:val="22"/>
              </w:rPr>
            </w:pPr>
          </w:p>
        </w:tc>
        <w:tc>
          <w:tcPr>
            <w:tcW w:w="4002" w:type="pct"/>
            <w:tcBorders>
              <w:bottom w:val="single" w:sz="4" w:space="0" w:color="auto"/>
              <w:right w:val="single" w:sz="2" w:space="0" w:color="auto"/>
            </w:tcBorders>
            <w:vAlign w:val="center"/>
          </w:tcPr>
          <w:p w14:paraId="4A384799" w14:textId="35F210A2"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discloses their breach):</w:t>
            </w:r>
          </w:p>
          <w:p w14:paraId="6C1F8DEC" w14:textId="77777777" w:rsidR="009F090D" w:rsidRPr="00F5277E" w:rsidRDefault="009F090D" w:rsidP="00273B23">
            <w:pPr>
              <w:pStyle w:val="BoxText"/>
            </w:pPr>
            <w:r w:rsidRPr="00F5277E">
              <w:t>12 penalty units (or 60 penalty units if the person is a corporation).</w:t>
            </w:r>
          </w:p>
          <w:p w14:paraId="119492AB" w14:textId="79489EBB"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 xml:space="preserve">Tier 2 infringement notice (may be applied </w:t>
            </w:r>
            <w:r>
              <w:rPr>
                <w:rFonts w:asciiTheme="minorHAnsi" w:hAnsiTheme="minorHAnsi" w:cstheme="minorHAnsi"/>
                <w:b/>
                <w:szCs w:val="22"/>
              </w:rPr>
              <w:t>if the investor does not self</w:t>
            </w:r>
            <w:r w:rsidR="00D11EC8">
              <w:rPr>
                <w:rFonts w:asciiTheme="minorHAnsi" w:hAnsiTheme="minorHAnsi" w:cstheme="minorHAnsi"/>
                <w:b/>
                <w:szCs w:val="22"/>
              </w:rPr>
              <w:noBreakHyphen/>
            </w:r>
            <w:r>
              <w:rPr>
                <w:rFonts w:asciiTheme="minorHAnsi" w:hAnsiTheme="minorHAnsi" w:cstheme="minorHAnsi"/>
                <w:b/>
                <w:szCs w:val="22"/>
              </w:rPr>
              <w:t>disclose</w:t>
            </w:r>
            <w:r w:rsidRPr="00F5277E">
              <w:rPr>
                <w:rFonts w:asciiTheme="minorHAnsi" w:hAnsiTheme="minorHAnsi" w:cstheme="minorHAnsi"/>
                <w:b/>
                <w:szCs w:val="22"/>
              </w:rPr>
              <w:t>):</w:t>
            </w:r>
          </w:p>
          <w:p w14:paraId="0BCB6E62" w14:textId="77777777" w:rsidR="009F090D" w:rsidRPr="00F5277E" w:rsidRDefault="009F090D" w:rsidP="00273B23">
            <w:pPr>
              <w:pStyle w:val="BoxText"/>
            </w:pPr>
            <w:r w:rsidRPr="00F5277E">
              <w:t>60 penalty units (or 300 penalty units if the person is a corporation).</w:t>
            </w:r>
          </w:p>
          <w:p w14:paraId="16566B4A" w14:textId="77777777" w:rsidR="009F090D" w:rsidRDefault="009F090D" w:rsidP="00D11EC8">
            <w:pPr>
              <w:rPr>
                <w:rFonts w:asciiTheme="minorHAnsi" w:hAnsiTheme="minorHAnsi" w:cstheme="minorHAnsi"/>
                <w:szCs w:val="22"/>
              </w:rPr>
            </w:pPr>
            <w:r w:rsidRPr="00F5277E">
              <w:rPr>
                <w:rFonts w:asciiTheme="minorHAnsi" w:hAnsiTheme="minorHAnsi" w:cstheme="minorHAnsi"/>
                <w:b/>
                <w:szCs w:val="22"/>
              </w:rPr>
              <w:t>Tier 3 infringement notice:</w:t>
            </w:r>
          </w:p>
          <w:p w14:paraId="0C5EA684" w14:textId="77777777" w:rsidR="009F090D" w:rsidRPr="00F5277E" w:rsidRDefault="009F090D" w:rsidP="00273B23">
            <w:pPr>
              <w:pStyle w:val="BoxText"/>
            </w:pPr>
            <w:r>
              <w:t>n/a</w:t>
            </w:r>
          </w:p>
          <w:p w14:paraId="2626C503" w14:textId="77777777" w:rsidR="009F090D" w:rsidRPr="00F5277E" w:rsidRDefault="009F090D" w:rsidP="00273B23">
            <w:pPr>
              <w:pStyle w:val="BoxText"/>
            </w:pPr>
            <w:r w:rsidRPr="00F5277E">
              <w:t>See s100 of the Act.</w:t>
            </w:r>
          </w:p>
        </w:tc>
      </w:tr>
      <w:tr w:rsidR="009F090D" w:rsidRPr="00F5277E" w14:paraId="5266AC3B" w14:textId="77777777" w:rsidTr="00A01F7F">
        <w:tc>
          <w:tcPr>
            <w:tcW w:w="998" w:type="pct"/>
            <w:vMerge w:val="restart"/>
            <w:vAlign w:val="center"/>
          </w:tcPr>
          <w:p w14:paraId="71D682B0" w14:textId="77777777" w:rsidR="009F090D" w:rsidRPr="00F5277E" w:rsidRDefault="009F090D" w:rsidP="00273B23">
            <w:pPr>
              <w:pStyle w:val="BoxText"/>
            </w:pPr>
            <w:r w:rsidRPr="00F5277E">
              <w:t>Failing to make and keep records relating to residential land</w:t>
            </w:r>
          </w:p>
        </w:tc>
        <w:tc>
          <w:tcPr>
            <w:tcW w:w="4002" w:type="pct"/>
            <w:tcBorders>
              <w:right w:val="single" w:sz="4" w:space="0" w:color="auto"/>
            </w:tcBorders>
            <w:vAlign w:val="center"/>
          </w:tcPr>
          <w:p w14:paraId="4D609EC9"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criminal penalty (excluding vacancy fee records, s118 of the Act):</w:t>
            </w:r>
          </w:p>
          <w:p w14:paraId="0EB860CF" w14:textId="77777777" w:rsidR="009F090D" w:rsidRPr="00F5277E" w:rsidRDefault="009F090D" w:rsidP="00273B23">
            <w:pPr>
              <w:pStyle w:val="BoxText"/>
            </w:pPr>
            <w:r w:rsidRPr="00F5277E">
              <w:t>250 penalty units (or 1,250 penalty units if the person is a corporation).</w:t>
            </w:r>
          </w:p>
        </w:tc>
      </w:tr>
      <w:tr w:rsidR="009F090D" w:rsidRPr="00F5277E" w14:paraId="13A02252" w14:textId="77777777" w:rsidTr="00A01F7F">
        <w:tc>
          <w:tcPr>
            <w:tcW w:w="998" w:type="pct"/>
            <w:vMerge/>
            <w:vAlign w:val="center"/>
          </w:tcPr>
          <w:p w14:paraId="47EA34C4" w14:textId="77777777" w:rsidR="009F090D" w:rsidRPr="00F5277E" w:rsidRDefault="009F090D" w:rsidP="00D11EC8">
            <w:pPr>
              <w:rPr>
                <w:rFonts w:asciiTheme="minorHAnsi" w:hAnsiTheme="minorHAnsi" w:cstheme="minorHAnsi"/>
                <w:szCs w:val="22"/>
              </w:rPr>
            </w:pPr>
          </w:p>
        </w:tc>
        <w:tc>
          <w:tcPr>
            <w:tcW w:w="4002" w:type="pct"/>
            <w:tcBorders>
              <w:right w:val="single" w:sz="4" w:space="0" w:color="auto"/>
            </w:tcBorders>
            <w:vAlign w:val="center"/>
          </w:tcPr>
          <w:p w14:paraId="7EF71B2A" w14:textId="77777777"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Maximum civil penalty (applicable only to vacancy fee records, s115G of the Act):</w:t>
            </w:r>
          </w:p>
          <w:p w14:paraId="68DA23E6" w14:textId="5EB8BF67" w:rsidR="009F090D" w:rsidRPr="00F5277E" w:rsidRDefault="00D779D7" w:rsidP="00273B23">
            <w:pPr>
              <w:pStyle w:val="BoxText"/>
            </w:pPr>
            <w:r>
              <w:t>50</w:t>
            </w:r>
            <w:r w:rsidR="009F090D" w:rsidRPr="00F5277E">
              <w:t>0 penalty units.</w:t>
            </w:r>
          </w:p>
        </w:tc>
      </w:tr>
      <w:tr w:rsidR="009F090D" w:rsidRPr="00F5277E" w14:paraId="510F0C0C" w14:textId="77777777" w:rsidTr="00A01F7F">
        <w:tc>
          <w:tcPr>
            <w:tcW w:w="998" w:type="pct"/>
            <w:vMerge/>
            <w:vAlign w:val="center"/>
          </w:tcPr>
          <w:p w14:paraId="01516F9F" w14:textId="77777777" w:rsidR="009F090D" w:rsidRPr="00F5277E" w:rsidRDefault="009F090D" w:rsidP="00D11EC8">
            <w:pPr>
              <w:rPr>
                <w:rFonts w:asciiTheme="minorHAnsi" w:hAnsiTheme="minorHAnsi" w:cstheme="minorHAnsi"/>
                <w:szCs w:val="22"/>
              </w:rPr>
            </w:pPr>
          </w:p>
        </w:tc>
        <w:tc>
          <w:tcPr>
            <w:tcW w:w="4002" w:type="pct"/>
            <w:tcBorders>
              <w:right w:val="single" w:sz="4" w:space="0" w:color="auto"/>
            </w:tcBorders>
            <w:vAlign w:val="center"/>
          </w:tcPr>
          <w:p w14:paraId="2C33D358" w14:textId="47EC1372"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1 infringement notice (may be applied when the investor self</w:t>
            </w:r>
            <w:r w:rsidR="00D11EC8">
              <w:rPr>
                <w:rFonts w:asciiTheme="minorHAnsi" w:hAnsiTheme="minorHAnsi" w:cstheme="minorHAnsi"/>
                <w:b/>
                <w:szCs w:val="22"/>
              </w:rPr>
              <w:noBreakHyphen/>
            </w:r>
            <w:r w:rsidRPr="00F5277E">
              <w:rPr>
                <w:rFonts w:asciiTheme="minorHAnsi" w:hAnsiTheme="minorHAnsi" w:cstheme="minorHAnsi"/>
                <w:b/>
                <w:szCs w:val="22"/>
              </w:rPr>
              <w:t>discloses their breach</w:t>
            </w:r>
            <w:r w:rsidR="00D11EC8">
              <w:rPr>
                <w:rFonts w:asciiTheme="minorHAnsi" w:hAnsiTheme="minorHAnsi" w:cstheme="minorHAnsi"/>
                <w:b/>
                <w:szCs w:val="22"/>
              </w:rPr>
              <w:t xml:space="preserve"> – </w:t>
            </w:r>
            <w:r w:rsidRPr="00F5277E">
              <w:rPr>
                <w:rFonts w:asciiTheme="minorHAnsi" w:hAnsiTheme="minorHAnsi" w:cstheme="minorHAnsi"/>
                <w:b/>
                <w:szCs w:val="22"/>
              </w:rPr>
              <w:t>applicable only to vacancy fee records):</w:t>
            </w:r>
          </w:p>
          <w:p w14:paraId="5B3FB3BB" w14:textId="77777777" w:rsidR="009F090D" w:rsidRPr="00F5277E" w:rsidRDefault="009F090D" w:rsidP="00273B23">
            <w:pPr>
              <w:pStyle w:val="BoxText"/>
            </w:pPr>
            <w:r w:rsidRPr="00F5277E">
              <w:t>12 penalty units (or 60 penalty units if the person is a corporation).</w:t>
            </w:r>
          </w:p>
          <w:p w14:paraId="35DEED54" w14:textId="3C23317B"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2 infringement notice (may be applied when the value of the land is &lt;$5 million</w:t>
            </w:r>
            <w:r w:rsidR="00D11EC8">
              <w:rPr>
                <w:rFonts w:asciiTheme="minorHAnsi" w:hAnsiTheme="minorHAnsi" w:cstheme="minorHAnsi"/>
                <w:b/>
                <w:szCs w:val="22"/>
              </w:rPr>
              <w:t xml:space="preserve"> – </w:t>
            </w:r>
            <w:r w:rsidRPr="00F5277E">
              <w:rPr>
                <w:rFonts w:asciiTheme="minorHAnsi" w:hAnsiTheme="minorHAnsi" w:cstheme="minorHAnsi"/>
                <w:b/>
                <w:szCs w:val="22"/>
              </w:rPr>
              <w:t>applicable only to vacancy fee records):</w:t>
            </w:r>
          </w:p>
          <w:p w14:paraId="44439053" w14:textId="77777777" w:rsidR="009F090D" w:rsidRPr="00F5277E" w:rsidRDefault="009F090D" w:rsidP="00273B23">
            <w:pPr>
              <w:pStyle w:val="BoxText"/>
            </w:pPr>
            <w:r w:rsidRPr="00F5277E">
              <w:t>60 penalty units (or 300 penalty units if the person is a corporation).</w:t>
            </w:r>
          </w:p>
          <w:p w14:paraId="6F048DB3" w14:textId="114D6961" w:rsidR="009F090D" w:rsidRPr="00F5277E" w:rsidRDefault="009F090D" w:rsidP="00D11EC8">
            <w:pPr>
              <w:rPr>
                <w:rFonts w:asciiTheme="minorHAnsi" w:hAnsiTheme="minorHAnsi" w:cstheme="minorHAnsi"/>
                <w:b/>
                <w:szCs w:val="22"/>
              </w:rPr>
            </w:pPr>
            <w:r w:rsidRPr="00F5277E">
              <w:rPr>
                <w:rFonts w:asciiTheme="minorHAnsi" w:hAnsiTheme="minorHAnsi" w:cstheme="minorHAnsi"/>
                <w:b/>
                <w:szCs w:val="22"/>
              </w:rPr>
              <w:t>Tier 3 infringement notice (may be applied when the value of the land is &gt;$5 million</w:t>
            </w:r>
            <w:r w:rsidR="00D11EC8">
              <w:rPr>
                <w:rFonts w:asciiTheme="minorHAnsi" w:hAnsiTheme="minorHAnsi" w:cstheme="minorHAnsi"/>
                <w:b/>
                <w:szCs w:val="22"/>
              </w:rPr>
              <w:t xml:space="preserve"> – </w:t>
            </w:r>
            <w:r w:rsidRPr="00F5277E">
              <w:rPr>
                <w:rFonts w:asciiTheme="minorHAnsi" w:hAnsiTheme="minorHAnsi" w:cstheme="minorHAnsi"/>
                <w:b/>
                <w:szCs w:val="22"/>
              </w:rPr>
              <w:t>applicable only to vacancy fee records):</w:t>
            </w:r>
          </w:p>
          <w:p w14:paraId="1CBD0C28" w14:textId="77777777" w:rsidR="009F090D" w:rsidRPr="00F5277E" w:rsidRDefault="009F090D" w:rsidP="00273B23">
            <w:pPr>
              <w:pStyle w:val="BoxText"/>
            </w:pPr>
            <w:r w:rsidRPr="00F5277E">
              <w:t>300 penalty units (or 1,500 penalty units if the person is a corporation).</w:t>
            </w:r>
          </w:p>
          <w:p w14:paraId="1B882563" w14:textId="77777777" w:rsidR="009F090D" w:rsidRPr="00F5277E" w:rsidRDefault="009F090D" w:rsidP="00273B23">
            <w:pPr>
              <w:pStyle w:val="BoxText"/>
            </w:pPr>
            <w:r w:rsidRPr="00F5277E">
              <w:t>See s100 of the Act.</w:t>
            </w:r>
          </w:p>
        </w:tc>
      </w:tr>
      <w:tr w:rsidR="00F4235E" w:rsidRPr="00F5277E" w14:paraId="117C28FE" w14:textId="77777777" w:rsidTr="00A01F7F">
        <w:tc>
          <w:tcPr>
            <w:tcW w:w="998" w:type="pct"/>
            <w:vAlign w:val="center"/>
          </w:tcPr>
          <w:p w14:paraId="1C6ABB1B" w14:textId="011719BD" w:rsidR="00F4235E" w:rsidRPr="00A01F7F" w:rsidRDefault="00F4235E" w:rsidP="00D11EC8">
            <w:pPr>
              <w:rPr>
                <w:rFonts w:cs="Calibri Light"/>
                <w:szCs w:val="22"/>
              </w:rPr>
            </w:pPr>
            <w:r w:rsidRPr="00A01F7F">
              <w:rPr>
                <w:rFonts w:cs="Calibri Light"/>
                <w:szCs w:val="22"/>
              </w:rPr>
              <w:t>Failing to give register notice to the Registrar of the Register of Foreign Ownership of Australian Assets</w:t>
            </w:r>
          </w:p>
        </w:tc>
        <w:tc>
          <w:tcPr>
            <w:tcW w:w="4002" w:type="pct"/>
            <w:tcBorders>
              <w:right w:val="single" w:sz="4" w:space="0" w:color="auto"/>
            </w:tcBorders>
            <w:vAlign w:val="center"/>
          </w:tcPr>
          <w:p w14:paraId="155C0B9B" w14:textId="77777777" w:rsidR="00F4235E" w:rsidRPr="00712BD7" w:rsidRDefault="00E0221F" w:rsidP="00D11EC8">
            <w:pPr>
              <w:rPr>
                <w:rFonts w:asciiTheme="minorHAnsi" w:hAnsiTheme="minorHAnsi" w:cstheme="minorHAnsi"/>
                <w:b/>
                <w:szCs w:val="22"/>
              </w:rPr>
            </w:pPr>
            <w:r w:rsidRPr="00712BD7">
              <w:rPr>
                <w:rFonts w:asciiTheme="minorHAnsi" w:hAnsiTheme="minorHAnsi" w:cstheme="minorHAnsi"/>
                <w:b/>
                <w:szCs w:val="22"/>
              </w:rPr>
              <w:t>Maximum civil penalty (s130ZV of the Act):</w:t>
            </w:r>
          </w:p>
          <w:p w14:paraId="4598C9A2" w14:textId="7F192E26" w:rsidR="00E0221F" w:rsidRPr="00A01F7F" w:rsidRDefault="00E0221F" w:rsidP="00D11EC8">
            <w:pPr>
              <w:rPr>
                <w:rFonts w:cs="Calibri Light"/>
                <w:szCs w:val="22"/>
              </w:rPr>
            </w:pPr>
            <w:r w:rsidRPr="00A01F7F">
              <w:rPr>
                <w:rFonts w:cs="Calibri Light"/>
                <w:szCs w:val="22"/>
              </w:rPr>
              <w:t>250 penalty units</w:t>
            </w:r>
          </w:p>
        </w:tc>
      </w:tr>
    </w:tbl>
    <w:p w14:paraId="1781A780" w14:textId="77777777" w:rsidR="00CE590E" w:rsidRDefault="00CE590E" w:rsidP="00A01F7F"/>
    <w:p w14:paraId="76445000" w14:textId="77777777" w:rsidR="00CE590E" w:rsidRDefault="00CE590E">
      <w:pPr>
        <w:spacing w:before="0" w:after="0"/>
        <w:rPr>
          <w:rFonts w:ascii="Calibri" w:hAnsi="Calibri" w:cs="Arial"/>
          <w:b/>
          <w:color w:val="4D7861" w:themeColor="accent2"/>
          <w:kern w:val="32"/>
          <w:sz w:val="28"/>
          <w:szCs w:val="26"/>
        </w:rPr>
      </w:pPr>
      <w:r>
        <w:br w:type="page"/>
      </w:r>
    </w:p>
    <w:p w14:paraId="536ED0E7" w14:textId="6403864E" w:rsidR="009F090D" w:rsidRPr="00F5277E" w:rsidRDefault="009F090D" w:rsidP="00273B23">
      <w:pPr>
        <w:pStyle w:val="Heading3"/>
      </w:pPr>
      <w:r w:rsidRPr="00F5277E">
        <w:lastRenderedPageBreak/>
        <w:t xml:space="preserve">Penalties for people associated with a </w:t>
      </w:r>
      <w:r w:rsidRPr="00273B23">
        <w:t>breach</w:t>
      </w:r>
    </w:p>
    <w:p w14:paraId="5D510775" w14:textId="77777777" w:rsidR="009F090D" w:rsidRPr="00F5277E" w:rsidRDefault="009F090D" w:rsidP="00D11EC8">
      <w:r w:rsidRPr="00F5277E">
        <w:t xml:space="preserve">Where an </w:t>
      </w:r>
      <w:r w:rsidRPr="00F5277E">
        <w:rPr>
          <w:u w:val="single"/>
        </w:rPr>
        <w:t>officer of a corporation</w:t>
      </w:r>
      <w:r w:rsidRPr="00F5277E">
        <w:t xml:space="preserve"> authorises or permits a breach of the foreign investment law in relation to residential land to occur, or fails to prevent such a breach from occurring, that officer may be subject to a penalty (regardless of whether the corporation is also penalised). The maximum penalty that can apply to that officer is the same penalty as if they had committed the breach themselves.</w:t>
      </w:r>
    </w:p>
    <w:p w14:paraId="0897EFAB" w14:textId="77777777" w:rsidR="009F090D" w:rsidRPr="00F5277E" w:rsidRDefault="009F090D" w:rsidP="00D11EC8">
      <w:r w:rsidRPr="00F5277E">
        <w:t xml:space="preserve">Similarly, if a </w:t>
      </w:r>
      <w:r w:rsidRPr="00F5277E">
        <w:rPr>
          <w:u w:val="single"/>
        </w:rPr>
        <w:t>third party</w:t>
      </w:r>
      <w:r w:rsidRPr="00F5277E">
        <w:rPr>
          <w:rStyle w:val="FootnoteReference"/>
        </w:rPr>
        <w:footnoteReference w:id="3"/>
      </w:r>
      <w:r w:rsidRPr="00F5277E">
        <w:t xml:space="preserve"> knowingly assists another person to breach the foreign investment law in relation to residential land, that party can be subject to a penalty (regardless of whether the other person is also penalised). The maximum penalty that can apply to that party is the same penalty as if they had committed the breach themselves. </w:t>
      </w:r>
    </w:p>
    <w:p w14:paraId="47D236A2" w14:textId="77777777" w:rsidR="009F090D" w:rsidRPr="00F5277E" w:rsidRDefault="009F090D" w:rsidP="00D11EC8">
      <w:bookmarkStart w:id="6" w:name="_Further_information_on"/>
      <w:bookmarkEnd w:id="6"/>
      <w:r w:rsidRPr="00F5277E">
        <w:t xml:space="preserve">To knowingly assist another person to breach the law may include: </w:t>
      </w:r>
    </w:p>
    <w:p w14:paraId="6686B193" w14:textId="77777777" w:rsidR="009F090D" w:rsidRPr="00F5277E" w:rsidRDefault="009F090D" w:rsidP="00273B23">
      <w:pPr>
        <w:pStyle w:val="Bullet"/>
      </w:pPr>
      <w:r w:rsidRPr="00F5277E">
        <w:t xml:space="preserve">aiding, abetting, counselling or </w:t>
      </w:r>
      <w:r w:rsidRPr="00273B23">
        <w:t>procuring</w:t>
      </w:r>
      <w:r w:rsidRPr="00F5277E">
        <w:t xml:space="preserve"> a </w:t>
      </w:r>
      <w:proofErr w:type="gramStart"/>
      <w:r w:rsidRPr="00F5277E">
        <w:t>contravention;</w:t>
      </w:r>
      <w:proofErr w:type="gramEnd"/>
      <w:r w:rsidRPr="00F5277E">
        <w:t xml:space="preserve"> </w:t>
      </w:r>
    </w:p>
    <w:p w14:paraId="5857549A" w14:textId="77777777" w:rsidR="009F090D" w:rsidRPr="00F5277E" w:rsidRDefault="009F090D" w:rsidP="00273B23">
      <w:pPr>
        <w:pStyle w:val="Bullet"/>
      </w:pPr>
      <w:r w:rsidRPr="00F5277E">
        <w:t xml:space="preserve">inducing (by threat, promise or </w:t>
      </w:r>
      <w:r w:rsidRPr="00273B23">
        <w:t>otherwise</w:t>
      </w:r>
      <w:r w:rsidRPr="00F5277E">
        <w:t xml:space="preserve">) a </w:t>
      </w:r>
      <w:proofErr w:type="gramStart"/>
      <w:r w:rsidRPr="00F5277E">
        <w:t>contravention;</w:t>
      </w:r>
      <w:proofErr w:type="gramEnd"/>
      <w:r w:rsidRPr="00F5277E">
        <w:t xml:space="preserve"> </w:t>
      </w:r>
    </w:p>
    <w:p w14:paraId="29558FFB" w14:textId="77777777" w:rsidR="009F090D" w:rsidRPr="00F5277E" w:rsidRDefault="009F090D" w:rsidP="00273B23">
      <w:pPr>
        <w:pStyle w:val="Bullet"/>
      </w:pPr>
      <w:r w:rsidRPr="00F5277E">
        <w:t xml:space="preserve">conspiring with others to </w:t>
      </w:r>
      <w:proofErr w:type="gramStart"/>
      <w:r w:rsidRPr="00F5277E">
        <w:t>effect</w:t>
      </w:r>
      <w:proofErr w:type="gramEnd"/>
      <w:r w:rsidRPr="00F5277E">
        <w:t xml:space="preserve"> a </w:t>
      </w:r>
      <w:r w:rsidRPr="00273B23">
        <w:t>contravention</w:t>
      </w:r>
      <w:r w:rsidRPr="00F5277E">
        <w:t>; and/or</w:t>
      </w:r>
    </w:p>
    <w:p w14:paraId="52816992" w14:textId="77777777" w:rsidR="009F090D" w:rsidRPr="00F5277E" w:rsidRDefault="009F090D" w:rsidP="00273B23">
      <w:pPr>
        <w:pStyle w:val="Bullet"/>
      </w:pPr>
      <w:r w:rsidRPr="00F5277E">
        <w:t>being, directly or indirectly, knowingly concerned in, or party to, a contravention.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ook w:val="04A0" w:firstRow="1" w:lastRow="0" w:firstColumn="1" w:lastColumn="0" w:noHBand="0" w:noVBand="1"/>
      </w:tblPr>
      <w:tblGrid>
        <w:gridCol w:w="8504"/>
      </w:tblGrid>
      <w:tr w:rsidR="009F090D" w:rsidRPr="00F5277E" w14:paraId="5DB76342" w14:textId="77777777" w:rsidTr="00DE720C">
        <w:tc>
          <w:tcPr>
            <w:tcW w:w="5000" w:type="pct"/>
            <w:shd w:val="clear" w:color="auto" w:fill="E5F6FF"/>
            <w:tcMar>
              <w:top w:w="227" w:type="dxa"/>
              <w:left w:w="227" w:type="dxa"/>
              <w:bottom w:w="227" w:type="dxa"/>
              <w:right w:w="227" w:type="dxa"/>
            </w:tcMar>
          </w:tcPr>
          <w:p w14:paraId="4B8ABE3E" w14:textId="7093CA13" w:rsidR="009F090D" w:rsidRPr="00F5277E" w:rsidRDefault="009F090D" w:rsidP="00DE720C">
            <w:pPr>
              <w:pStyle w:val="BoxHeading"/>
            </w:pPr>
            <w:r w:rsidRPr="00F5277E">
              <w:lastRenderedPageBreak/>
              <w:t xml:space="preserve">Example </w:t>
            </w:r>
            <w:r w:rsidR="00342C57">
              <w:fldChar w:fldCharType="begin"/>
            </w:r>
            <w:r w:rsidR="00342C57">
              <w:instrText xml:space="preserve"> seq list1 </w:instrText>
            </w:r>
            <w:r w:rsidR="00342C57">
              <w:fldChar w:fldCharType="separate"/>
            </w:r>
            <w:r w:rsidR="0017072F">
              <w:rPr>
                <w:noProof/>
              </w:rPr>
              <w:t>1</w:t>
            </w:r>
            <w:r w:rsidR="00342C57">
              <w:rPr>
                <w:noProof/>
              </w:rPr>
              <w:fldChar w:fldCharType="end"/>
            </w:r>
          </w:p>
          <w:p w14:paraId="447B9DCA" w14:textId="1BF13478" w:rsidR="00BA75EB" w:rsidRDefault="00BA75EB" w:rsidP="00BA75EB">
            <w:pPr>
              <w:pStyle w:val="BoxText"/>
            </w:pPr>
            <w:r>
              <w:t xml:space="preserve">Mr Conveyancer finds out </w:t>
            </w:r>
            <w:r w:rsidR="007135D6">
              <w:t xml:space="preserve">his client is a foreign person </w:t>
            </w:r>
            <w:r>
              <w:t xml:space="preserve">two days before </w:t>
            </w:r>
            <w:r w:rsidR="00F723FF">
              <w:t>the</w:t>
            </w:r>
            <w:r w:rsidR="00303560">
              <w:t xml:space="preserve"> client</w:t>
            </w:r>
            <w:r w:rsidR="00F723FF">
              <w:t xml:space="preserve"> (</w:t>
            </w:r>
            <w:r w:rsidR="006E1C0B">
              <w:t>the purchaser</w:t>
            </w:r>
            <w:r w:rsidR="00F723FF">
              <w:t>)</w:t>
            </w:r>
            <w:r w:rsidR="00303560">
              <w:t xml:space="preserve"> is due to sign </w:t>
            </w:r>
            <w:r w:rsidR="00F723FF">
              <w:t>a</w:t>
            </w:r>
            <w:r w:rsidR="00875015">
              <w:t xml:space="preserve"> contract </w:t>
            </w:r>
            <w:r w:rsidR="00303560">
              <w:t xml:space="preserve">for </w:t>
            </w:r>
            <w:r>
              <w:t>a new dwelling. Mr Conveyancer contacts his client to obtain details of the client’s approval under the Act</w:t>
            </w:r>
            <w:r w:rsidR="00560DAA">
              <w:t>.</w:t>
            </w:r>
            <w:r>
              <w:t xml:space="preserve"> </w:t>
            </w:r>
            <w:r w:rsidR="00560DAA">
              <w:t>H</w:t>
            </w:r>
            <w:r>
              <w:t xml:space="preserve">owever, the client tells Mr Conveyancer that they have not sought the Treasurer’s approval for their proposed purchase. The foreign person advises they would like to proceed with </w:t>
            </w:r>
            <w:r w:rsidR="003C5C7D">
              <w:t xml:space="preserve">the purchase and </w:t>
            </w:r>
            <w:r w:rsidR="00AD79A5">
              <w:t>sign the contract</w:t>
            </w:r>
            <w:r>
              <w:t>.</w:t>
            </w:r>
          </w:p>
          <w:p w14:paraId="55611DE1" w14:textId="7EBA52A1" w:rsidR="00BA75EB" w:rsidRDefault="00BA75EB" w:rsidP="00BA75EB">
            <w:pPr>
              <w:pStyle w:val="BoxText"/>
            </w:pPr>
            <w:r>
              <w:t xml:space="preserve">Mr Conveyancer proceeds </w:t>
            </w:r>
            <w:r w:rsidR="00C8557B">
              <w:t xml:space="preserve">to assist the purchaser </w:t>
            </w:r>
            <w:r>
              <w:t>with settlement, as he is confident the purchaser would have received approval from the Treasurer had they applied for it. Failure to give notice of a notifiable action</w:t>
            </w:r>
            <w:r w:rsidR="001E588A">
              <w:t>, such as the purchase of residential land by a foreign person,</w:t>
            </w:r>
            <w:r>
              <w:t xml:space="preserve"> is a breach of the Act.</w:t>
            </w:r>
          </w:p>
          <w:p w14:paraId="3BB08905" w14:textId="5F89E998" w:rsidR="00BA75EB" w:rsidRDefault="00BA75EB" w:rsidP="00131431">
            <w:r>
              <w:t xml:space="preserve">As Mr Conveyancer is a third party who knowingly </w:t>
            </w:r>
            <w:r w:rsidR="001E588A">
              <w:t>aided</w:t>
            </w:r>
            <w:r>
              <w:t xml:space="preserve"> the purchase of residential land by a foreign person </w:t>
            </w:r>
            <w:r w:rsidR="00643AE5">
              <w:t>without giving notice</w:t>
            </w:r>
            <w:r>
              <w:t xml:space="preserve"> in breach of the Act, he may be liable for a civil or criminal penalty.</w:t>
            </w:r>
          </w:p>
          <w:p w14:paraId="5B3CC1E7" w14:textId="48D34B3A" w:rsidR="009F090D" w:rsidRPr="00F5277E" w:rsidRDefault="009F090D" w:rsidP="00DE720C">
            <w:pPr>
              <w:pStyle w:val="BoxHeading"/>
            </w:pPr>
            <w:r w:rsidRPr="00F5277E">
              <w:t xml:space="preserve">Example </w:t>
            </w:r>
            <w:r w:rsidR="00342C57">
              <w:fldChar w:fldCharType="begin"/>
            </w:r>
            <w:r w:rsidR="00342C57">
              <w:instrText xml:space="preserve"> seq list1 </w:instrText>
            </w:r>
            <w:r w:rsidR="00342C57">
              <w:fldChar w:fldCharType="separate"/>
            </w:r>
            <w:r w:rsidR="0017072F">
              <w:rPr>
                <w:noProof/>
              </w:rPr>
              <w:t>2</w:t>
            </w:r>
            <w:r w:rsidR="00342C57">
              <w:rPr>
                <w:noProof/>
              </w:rPr>
              <w:fldChar w:fldCharType="end"/>
            </w:r>
          </w:p>
          <w:p w14:paraId="44E7AC5C" w14:textId="77777777" w:rsidR="009F090D" w:rsidRPr="00F5277E" w:rsidRDefault="009F090D" w:rsidP="00DE720C">
            <w:pPr>
              <w:pStyle w:val="BoxText"/>
            </w:pPr>
            <w:r w:rsidRPr="00F5277E">
              <w:t>Mr Conveyancer finds out two days after settlement on an existing dwelling that his client, the purchaser, is a foreign person. He did not know that his client was a foreign person as all correspondence was sent to a local address.</w:t>
            </w:r>
          </w:p>
          <w:p w14:paraId="06CC1F6A" w14:textId="4CFB0B6D" w:rsidR="009F090D" w:rsidRPr="00F5277E" w:rsidRDefault="009F090D" w:rsidP="00DE720C">
            <w:pPr>
              <w:pStyle w:val="BoxText"/>
            </w:pPr>
            <w:r w:rsidRPr="00F5277E">
              <w:t xml:space="preserve">The client tells Mr Conveyancer that they did not know approval was required. Mr Conveyancer tells the client that they do require </w:t>
            </w:r>
            <w:proofErr w:type="gramStart"/>
            <w:r w:rsidRPr="00F5277E">
              <w:t>approval</w:t>
            </w:r>
            <w:proofErr w:type="gramEnd"/>
            <w:r w:rsidRPr="00F5277E">
              <w:t xml:space="preserve"> and they should have sought approval before signing the purchase contract. He tells them to go to the F</w:t>
            </w:r>
            <w:r w:rsidR="00F354CF">
              <w:t>oreign Investment</w:t>
            </w:r>
            <w:r w:rsidRPr="00F5277E">
              <w:t xml:space="preserve"> website and find out what is </w:t>
            </w:r>
            <w:proofErr w:type="gramStart"/>
            <w:r w:rsidRPr="00F5277E">
              <w:t>required</w:t>
            </w:r>
            <w:proofErr w:type="gramEnd"/>
            <w:r w:rsidRPr="00F5277E">
              <w:t xml:space="preserve"> or they may be subject to significant penalties.</w:t>
            </w:r>
          </w:p>
          <w:p w14:paraId="5FDDDEC0" w14:textId="77777777" w:rsidR="009F090D" w:rsidRPr="00F5277E" w:rsidRDefault="009F090D" w:rsidP="00DE720C">
            <w:pPr>
              <w:pStyle w:val="BoxText"/>
            </w:pPr>
            <w:r w:rsidRPr="00F5277E">
              <w:t>As Mr Conveyancer did not know the purchaser was a foreign person until after the purchase was completed, he did not knowingly participate in the foreign person breaching the Act and so it is unlikely he would be subject to penalty.</w:t>
            </w:r>
          </w:p>
        </w:tc>
      </w:tr>
    </w:tbl>
    <w:p w14:paraId="2CAF7823" w14:textId="669CA58F" w:rsidR="009F090D" w:rsidRPr="00F5277E" w:rsidRDefault="009F090D" w:rsidP="00D11EC8">
      <w:r w:rsidRPr="00F5277E">
        <w:t xml:space="preserve">Furthermore, if the Treasurer is satisfied that one or more persons has </w:t>
      </w:r>
      <w:proofErr w:type="gramStart"/>
      <w:r w:rsidRPr="00F5277E">
        <w:t>entered into</w:t>
      </w:r>
      <w:proofErr w:type="gramEnd"/>
      <w:r w:rsidRPr="00F5277E">
        <w:t xml:space="preserve">, or carried out, a </w:t>
      </w:r>
      <w:r w:rsidRPr="00131431">
        <w:t>scheme</w:t>
      </w:r>
      <w:r w:rsidRPr="00F5277E">
        <w:rPr>
          <w:rStyle w:val="FootnoteReference"/>
        </w:rPr>
        <w:footnoteReference w:id="4"/>
      </w:r>
      <w:r w:rsidRPr="00F5277E">
        <w:t xml:space="preserve"> to avoid the application of the foreign investment law in relation to residential land, the Treasurer may make an order prohibiting a proposed acquisition of residential land or requiring the disposal of that land if already acquired</w:t>
      </w:r>
      <w:r w:rsidR="00D11EC8">
        <w:t xml:space="preserve">. </w:t>
      </w:r>
    </w:p>
    <w:p w14:paraId="62A09FD8" w14:textId="77777777" w:rsidR="009F090D" w:rsidRPr="00F5277E" w:rsidRDefault="009F090D" w:rsidP="00D11EC8">
      <w:r w:rsidRPr="00F5277E">
        <w:t xml:space="preserve">The Treasurer can also make an order specifying persons involved in avoidance of the foreign investment law in relation to residential land to be taken as associates of each other. See the </w:t>
      </w:r>
      <w:r w:rsidRPr="00F5277E">
        <w:rPr>
          <w:i/>
        </w:rPr>
        <w:t>Key Concepts</w:t>
      </w:r>
      <w:r w:rsidRPr="00F5277E">
        <w:t xml:space="preserve"> Guidance Note.</w:t>
      </w:r>
    </w:p>
    <w:p w14:paraId="1A2CEDB5" w14:textId="77777777" w:rsidR="000064AC" w:rsidRDefault="000064AC">
      <w:pPr>
        <w:spacing w:before="0" w:after="0"/>
        <w:rPr>
          <w:rFonts w:ascii="Calibri" w:hAnsi="Calibri" w:cs="Arial"/>
          <w:iCs/>
          <w:color w:val="2C384A"/>
          <w:kern w:val="32"/>
          <w:sz w:val="36"/>
          <w:szCs w:val="28"/>
        </w:rPr>
      </w:pPr>
      <w:r>
        <w:br w:type="page"/>
      </w:r>
    </w:p>
    <w:p w14:paraId="47210619" w14:textId="7D4C3A5C" w:rsidR="009F090D" w:rsidRPr="00F5277E" w:rsidRDefault="009F090D" w:rsidP="00D11EC8">
      <w:pPr>
        <w:pStyle w:val="Heading2"/>
      </w:pPr>
      <w:bookmarkStart w:id="7" w:name="_Toc192078885"/>
      <w:r w:rsidRPr="00F5277E">
        <w:lastRenderedPageBreak/>
        <w:t>C: Retrospective approvals and disposal orders</w:t>
      </w:r>
      <w:bookmarkEnd w:id="7"/>
    </w:p>
    <w:p w14:paraId="58F3C4BF" w14:textId="77777777" w:rsidR="009F090D" w:rsidRPr="00F5277E" w:rsidRDefault="009F090D" w:rsidP="00D11EC8">
      <w:pPr>
        <w:rPr>
          <w:szCs w:val="22"/>
        </w:rPr>
      </w:pPr>
      <w:r w:rsidRPr="00F5277E">
        <w:rPr>
          <w:szCs w:val="22"/>
        </w:rPr>
        <w:t xml:space="preserve">See also the </w:t>
      </w:r>
      <w:r w:rsidRPr="00F5277E">
        <w:rPr>
          <w:i/>
          <w:szCs w:val="22"/>
        </w:rPr>
        <w:t>Overview</w:t>
      </w:r>
      <w:r w:rsidRPr="00F5277E">
        <w:rPr>
          <w:szCs w:val="22"/>
        </w:rPr>
        <w:t xml:space="preserve">, </w:t>
      </w:r>
      <w:r w:rsidRPr="00F5277E">
        <w:rPr>
          <w:i/>
          <w:szCs w:val="22"/>
        </w:rPr>
        <w:t>Residential Land</w:t>
      </w:r>
      <w:r w:rsidRPr="00F5277E">
        <w:rPr>
          <w:szCs w:val="22"/>
        </w:rPr>
        <w:t xml:space="preserve"> and </w:t>
      </w:r>
      <w:r w:rsidRPr="00F5277E">
        <w:rPr>
          <w:i/>
          <w:szCs w:val="22"/>
        </w:rPr>
        <w:t>Fees</w:t>
      </w:r>
      <w:r w:rsidRPr="00F5277E">
        <w:rPr>
          <w:szCs w:val="22"/>
        </w:rPr>
        <w:t xml:space="preserve"> Guidance Notes.</w:t>
      </w:r>
    </w:p>
    <w:p w14:paraId="1ACFC129" w14:textId="55AA0F18" w:rsidR="009F090D" w:rsidRPr="00F5277E" w:rsidRDefault="009F090D" w:rsidP="00D11EC8">
      <w:r w:rsidRPr="00F5277E">
        <w:t>Where a foreign person has breached the law by acquiring an interest in residential land without prior foreign investment approval, they may apply for retrospective approval of that acquisition. In some situations, the investor may alternatively choose to self</w:t>
      </w:r>
      <w:r w:rsidR="00D11EC8">
        <w:noBreakHyphen/>
      </w:r>
      <w:r w:rsidRPr="00F5277E">
        <w:t>dispose of their interest.</w:t>
      </w:r>
    </w:p>
    <w:p w14:paraId="2F31F958" w14:textId="389412F5" w:rsidR="009F090D" w:rsidRPr="00F5277E" w:rsidRDefault="009F090D" w:rsidP="00D11EC8">
      <w:r w:rsidRPr="00F5277E">
        <w:t xml:space="preserve">Applications for retrospective approval are submitted electronically on </w:t>
      </w:r>
      <w:hyperlink r:id="rId12" w:history="1">
        <w:r>
          <w:rPr>
            <w:rStyle w:val="Hyperlink"/>
          </w:rPr>
          <w:t>the ATO website</w:t>
        </w:r>
      </w:hyperlink>
      <w:r w:rsidRPr="00F5277E">
        <w:t>, similar to normal proposed investment applications for residential land. A fee will be payable for most retrospective applications.</w:t>
      </w:r>
    </w:p>
    <w:p w14:paraId="2B376855" w14:textId="1C27F0A7" w:rsidR="009F090D" w:rsidRPr="00F5277E" w:rsidRDefault="009F090D" w:rsidP="00D11EC8">
      <w:r w:rsidRPr="00F5277E">
        <w:t>The Treasurer will consider retrospective applications in the same manner as applications for proposed investments. That is, the Treasurer will consider the investment in accordance with the national interest test (or national security test, as the case requires) to ensure that it is not contrary to Australia</w:t>
      </w:r>
      <w:r w:rsidR="00D11EC8">
        <w:t>’</w:t>
      </w:r>
      <w:r w:rsidRPr="00F5277E">
        <w:t>s national interest (or national security).</w:t>
      </w:r>
    </w:p>
    <w:p w14:paraId="07AA43AC" w14:textId="6474D007" w:rsidR="009F090D" w:rsidRPr="00F5277E" w:rsidRDefault="009F090D" w:rsidP="00D11EC8">
      <w:r w:rsidRPr="00F5277E">
        <w:t>If the Treasurer is satisfied that the acquisition is not contrary to the national interest (or national security), the investor will be granted foreign investment approval. That approval will be subject to certain conditions (generally, the same conditions that would have applied had the application been approved pre</w:t>
      </w:r>
      <w:r w:rsidR="00D11EC8">
        <w:noBreakHyphen/>
      </w:r>
      <w:r w:rsidRPr="00F5277E">
        <w:t xml:space="preserve">acquisition, as well as reporting conditions). </w:t>
      </w:r>
    </w:p>
    <w:p w14:paraId="29F2D934" w14:textId="51E0223B" w:rsidR="009F090D" w:rsidRDefault="009F090D" w:rsidP="00D11EC8">
      <w:r w:rsidRPr="00F5277E">
        <w:t>The granting of retrospective foreign investment approval (or self</w:t>
      </w:r>
      <w:r w:rsidR="00D11EC8">
        <w:noBreakHyphen/>
      </w:r>
      <w:r w:rsidRPr="00F5277E">
        <w:t>disposal) does not excuse the foreign person from also being liable for</w:t>
      </w:r>
      <w:r>
        <w:t xml:space="preserve"> </w:t>
      </w:r>
      <w:r w:rsidRPr="00F5277E">
        <w:t>penalty for the initial breach of the law.</w:t>
      </w:r>
    </w:p>
    <w:p w14:paraId="6BF267F2" w14:textId="4AA8ABFA" w:rsidR="004E26E6" w:rsidRDefault="004E26E6" w:rsidP="00D11EC8">
      <w:r>
        <w:t xml:space="preserve">As a result of the </w:t>
      </w:r>
      <w:r w:rsidR="002643E2">
        <w:t>G</w:t>
      </w:r>
      <w:r>
        <w:t xml:space="preserve">overnment’s policy to </w:t>
      </w:r>
      <w:r w:rsidR="001D48AB">
        <w:t xml:space="preserve">generally </w:t>
      </w:r>
      <w:r>
        <w:t xml:space="preserve">ban foreign persons </w:t>
      </w:r>
      <w:r w:rsidR="002643E2">
        <w:t xml:space="preserve">from </w:t>
      </w:r>
      <w:r>
        <w:t xml:space="preserve">purchasing established dwellings effective from 1 April 2025 to 31 March 2027, applications for retrospective approvals for established dwellings </w:t>
      </w:r>
      <w:r w:rsidR="00654932">
        <w:t>purchases that</w:t>
      </w:r>
      <w:r>
        <w:t xml:space="preserve"> are received from 1 April 2025 will generally not be approved</w:t>
      </w:r>
      <w:r w:rsidR="001A6D3D">
        <w:t>, even where the dwelling was purchased before 1 April 2025</w:t>
      </w:r>
      <w:r>
        <w:t xml:space="preserve">. </w:t>
      </w:r>
      <w:proofErr w:type="gramStart"/>
      <w:r>
        <w:t>In particular, a</w:t>
      </w:r>
      <w:proofErr w:type="gramEnd"/>
      <w:r>
        <w:t xml:space="preserve"> foreign person who acquire</w:t>
      </w:r>
      <w:r w:rsidR="00801844">
        <w:t>d</w:t>
      </w:r>
      <w:r>
        <w:t xml:space="preserve"> an established dwelling for use as their principal place of residence will generally not be granted retrospective approval. The exception to this is where an established dwelling is acquired for redevelopment that will significantly increase Australia’s housing stock by </w:t>
      </w:r>
      <w:r w:rsidR="00BF348B">
        <w:t xml:space="preserve">at least </w:t>
      </w:r>
      <w:r>
        <w:t xml:space="preserve">an additional 20 dwellings, or where another exception applies. See the </w:t>
      </w:r>
      <w:r>
        <w:rPr>
          <w:i/>
          <w:iCs/>
        </w:rPr>
        <w:t xml:space="preserve">Residential Land </w:t>
      </w:r>
      <w:r>
        <w:t>Guidance Note for more information.</w:t>
      </w:r>
    </w:p>
    <w:tbl>
      <w:tblPr>
        <w:tblStyle w:val="TableGrid"/>
        <w:tblW w:w="0" w:type="auto"/>
        <w:tblLook w:val="04A0" w:firstRow="1" w:lastRow="0" w:firstColumn="1" w:lastColumn="0" w:noHBand="0" w:noVBand="1"/>
      </w:tblPr>
      <w:tblGrid>
        <w:gridCol w:w="8494"/>
      </w:tblGrid>
      <w:tr w:rsidR="00D22160" w14:paraId="6AF580B4" w14:textId="77777777" w:rsidTr="00A01F7F">
        <w:tc>
          <w:tcPr>
            <w:tcW w:w="8494" w:type="dxa"/>
            <w:tcBorders>
              <w:top w:val="nil"/>
              <w:left w:val="nil"/>
              <w:bottom w:val="nil"/>
              <w:right w:val="nil"/>
            </w:tcBorders>
            <w:shd w:val="clear" w:color="auto" w:fill="F2F9FC"/>
          </w:tcPr>
          <w:p w14:paraId="38D8B5B0" w14:textId="27E2E6D3" w:rsidR="00D22160" w:rsidRPr="00F5277E" w:rsidRDefault="00D22160" w:rsidP="00D22160">
            <w:pPr>
              <w:pStyle w:val="BoxHeading"/>
            </w:pPr>
            <w:r w:rsidRPr="00F5277E">
              <w:t xml:space="preserve">Example </w:t>
            </w:r>
            <w:r w:rsidR="0020748E">
              <w:fldChar w:fldCharType="begin"/>
            </w:r>
            <w:r w:rsidR="0020748E">
              <w:instrText xml:space="preserve"> seq list1 </w:instrText>
            </w:r>
            <w:r w:rsidR="0020748E">
              <w:fldChar w:fldCharType="separate"/>
            </w:r>
            <w:r w:rsidR="0017072F">
              <w:rPr>
                <w:noProof/>
              </w:rPr>
              <w:t>3</w:t>
            </w:r>
            <w:r w:rsidR="0020748E">
              <w:rPr>
                <w:noProof/>
              </w:rPr>
              <w:fldChar w:fldCharType="end"/>
            </w:r>
          </w:p>
          <w:p w14:paraId="17E5EE59" w14:textId="2F78C6DE" w:rsidR="00D22160" w:rsidRDefault="00A677FA" w:rsidP="00D22160">
            <w:r w:rsidRPr="00A677FA">
              <w:t>Gina,</w:t>
            </w:r>
            <w:r w:rsidR="00571830">
              <w:t xml:space="preserve"> who is a temporary resident,</w:t>
            </w:r>
            <w:r w:rsidRPr="00A677FA">
              <w:t xml:space="preserve"> purchased three established dwellings on adjacent blocks to demolish and redevelop two of the </w:t>
            </w:r>
            <w:r w:rsidR="00101B0A">
              <w:t>properties</w:t>
            </w:r>
            <w:r w:rsidRPr="00A677FA">
              <w:t xml:space="preserve"> to rent or sell and </w:t>
            </w:r>
            <w:r w:rsidR="006D327E">
              <w:t xml:space="preserve">to </w:t>
            </w:r>
            <w:r w:rsidRPr="00A677FA">
              <w:t xml:space="preserve">live in the third as </w:t>
            </w:r>
            <w:r w:rsidR="00C039F5">
              <w:t>a primary place of residence</w:t>
            </w:r>
            <w:r w:rsidRPr="00A677FA">
              <w:t xml:space="preserve">. She has already acquired the interests in </w:t>
            </w:r>
            <w:r w:rsidR="00B2272B">
              <w:t xml:space="preserve">the properties </w:t>
            </w:r>
            <w:r w:rsidRPr="00A677FA">
              <w:t>by signing unconditional contracts for each</w:t>
            </w:r>
            <w:r w:rsidR="004D53D8">
              <w:t>, and did not give notice to the Treasurer before doing so</w:t>
            </w:r>
            <w:r w:rsidRPr="00A677FA">
              <w:t>.</w:t>
            </w:r>
            <w:r w:rsidR="004D53D8">
              <w:t xml:space="preserve"> Under the Government’s policy,</w:t>
            </w:r>
            <w:r w:rsidRPr="00A677FA">
              <w:t xml:space="preserve"> </w:t>
            </w:r>
            <w:r w:rsidR="004D53D8">
              <w:t>s</w:t>
            </w:r>
            <w:r w:rsidRPr="00A677FA">
              <w:t xml:space="preserve">he is ineligible to hold the established dwelling acquired </w:t>
            </w:r>
            <w:r w:rsidR="006D327E">
              <w:t xml:space="preserve">for use as a principal place of residence </w:t>
            </w:r>
            <w:r w:rsidRPr="00A677FA">
              <w:t xml:space="preserve">and will </w:t>
            </w:r>
            <w:r w:rsidR="004E654E">
              <w:t xml:space="preserve">likely </w:t>
            </w:r>
            <w:r w:rsidRPr="00A677FA">
              <w:t>have to dispose of this property</w:t>
            </w:r>
            <w:r w:rsidR="00125AA0">
              <w:t xml:space="preserve">. If she does not do so voluntarily, </w:t>
            </w:r>
            <w:r w:rsidRPr="00A677FA">
              <w:t xml:space="preserve">a disposal order may be </w:t>
            </w:r>
            <w:r w:rsidR="004E654E">
              <w:t>made</w:t>
            </w:r>
            <w:r w:rsidRPr="00A677FA">
              <w:t xml:space="preserve"> to force her to dispose</w:t>
            </w:r>
            <w:r w:rsidR="00125AA0">
              <w:t xml:space="preserve"> of the property</w:t>
            </w:r>
            <w:r w:rsidRPr="00A677FA">
              <w:t>. She is eligible to apply for and receive approval retrospectively for the other two properties</w:t>
            </w:r>
            <w:r w:rsidR="00E152DC">
              <w:t>,</w:t>
            </w:r>
            <w:r w:rsidRPr="00A677FA">
              <w:t xml:space="preserve"> </w:t>
            </w:r>
            <w:proofErr w:type="gramStart"/>
            <w:r w:rsidR="00E77934">
              <w:t>as long as</w:t>
            </w:r>
            <w:proofErr w:type="gramEnd"/>
            <w:r w:rsidR="00E77934">
              <w:t xml:space="preserve"> they are redeveloped and there are 22 or more dwellings on the properties (combined) after the redevelopment.</w:t>
            </w:r>
          </w:p>
        </w:tc>
      </w:tr>
    </w:tbl>
    <w:p w14:paraId="596584A1" w14:textId="77777777" w:rsidR="000C57AD" w:rsidRDefault="000C57AD">
      <w:pPr>
        <w:spacing w:before="0" w:after="0"/>
        <w:rPr>
          <w:rFonts w:ascii="Calibri" w:hAnsi="Calibri" w:cs="Arial"/>
          <w:b/>
          <w:color w:val="4D7861" w:themeColor="accent2"/>
          <w:kern w:val="32"/>
          <w:sz w:val="28"/>
          <w:szCs w:val="26"/>
        </w:rPr>
      </w:pPr>
      <w:r>
        <w:br w:type="page"/>
      </w:r>
    </w:p>
    <w:p w14:paraId="648370D0" w14:textId="322F3DE0" w:rsidR="009F090D" w:rsidRPr="00F5277E" w:rsidRDefault="009F090D" w:rsidP="00D11EC8">
      <w:pPr>
        <w:pStyle w:val="Heading3"/>
      </w:pPr>
      <w:r w:rsidRPr="00F5277E">
        <w:lastRenderedPageBreak/>
        <w:t>Disposal orders</w:t>
      </w:r>
    </w:p>
    <w:p w14:paraId="218BBBFF" w14:textId="3BABBF8F" w:rsidR="009F090D" w:rsidRPr="00F5277E" w:rsidRDefault="009F090D" w:rsidP="00D11EC8">
      <w:r w:rsidRPr="00F5277E">
        <w:t>If the Treasurer considers that a foreign person</w:t>
      </w:r>
      <w:r w:rsidR="00D11EC8">
        <w:t>’</w:t>
      </w:r>
      <w:r w:rsidRPr="00F5277E">
        <w:t xml:space="preserve">s holding of residential land without approval is contrary to the national interest (or national security, as the case requires), the Treasurer may issue a disposal order, in accordance with section 69 of the Act, which is directed at unwinding the action by requiring the disposal of the interest held. </w:t>
      </w:r>
    </w:p>
    <w:p w14:paraId="08B7F6B6" w14:textId="77777777" w:rsidR="009F090D" w:rsidRPr="00F5277E" w:rsidRDefault="009F090D" w:rsidP="00D11EC8">
      <w:r w:rsidRPr="00F5277E">
        <w:t>If a disposal order is issued, the foreign person may be liable to pay a fee, in addition to any penalty imposed and the disposal of the land. The land will generally be required to be disposed of within three months.</w:t>
      </w:r>
    </w:p>
    <w:p w14:paraId="14806C20" w14:textId="77777777" w:rsidR="009F090D" w:rsidRPr="00F5277E" w:rsidRDefault="009F090D" w:rsidP="00D11EC8">
      <w:r w:rsidRPr="00F5277E">
        <w:t xml:space="preserve">Disposal orders are publicly registered on the </w:t>
      </w:r>
      <w:r w:rsidRPr="004F7F3F">
        <w:t>Federal Register of Legislation</w:t>
      </w:r>
      <w:r w:rsidRPr="00F5277E">
        <w:t>.</w:t>
      </w:r>
    </w:p>
    <w:p w14:paraId="43268674" w14:textId="77777777" w:rsidR="002801BF" w:rsidRDefault="002801BF">
      <w:pPr>
        <w:spacing w:before="0" w:after="0"/>
        <w:rPr>
          <w:rFonts w:ascii="Calibri" w:hAnsi="Calibri" w:cs="Arial"/>
          <w:iCs/>
          <w:color w:val="2C384A"/>
          <w:kern w:val="32"/>
          <w:sz w:val="36"/>
          <w:szCs w:val="28"/>
        </w:rPr>
      </w:pPr>
      <w:r>
        <w:br w:type="page"/>
      </w:r>
    </w:p>
    <w:p w14:paraId="1DC0D075" w14:textId="3BA4FA63" w:rsidR="009F090D" w:rsidRPr="00F5277E" w:rsidRDefault="009F090D" w:rsidP="00D11EC8">
      <w:pPr>
        <w:pStyle w:val="Heading2"/>
      </w:pPr>
      <w:bookmarkStart w:id="8" w:name="_Toc192078886"/>
      <w:r w:rsidRPr="00F5277E">
        <w:lastRenderedPageBreak/>
        <w:t>D: The types of penalties – infringement notices</w:t>
      </w:r>
      <w:bookmarkEnd w:id="8"/>
    </w:p>
    <w:p w14:paraId="0909E143" w14:textId="77777777" w:rsidR="009F090D" w:rsidRPr="00F5277E" w:rsidRDefault="009F090D" w:rsidP="00D11EC8">
      <w:r w:rsidRPr="00F5277E">
        <w:t>The Act allows for less serious breaches of the foreign investment law in relation to residential land to be punishable by way of an infringement notice. Less serious breaches are likely to involve circumstances where:</w:t>
      </w:r>
    </w:p>
    <w:p w14:paraId="5B138920" w14:textId="77777777" w:rsidR="009F090D" w:rsidRPr="00F5277E" w:rsidRDefault="009F090D" w:rsidP="006F35E7">
      <w:pPr>
        <w:pStyle w:val="Bullet"/>
      </w:pPr>
      <w:r w:rsidRPr="00F5277E">
        <w:t xml:space="preserve">the breach is inadvertent or </w:t>
      </w:r>
      <w:r w:rsidRPr="006F35E7">
        <w:t>administrative</w:t>
      </w:r>
      <w:r w:rsidRPr="00F5277E">
        <w:t xml:space="preserve"> in </w:t>
      </w:r>
      <w:proofErr w:type="gramStart"/>
      <w:r w:rsidRPr="00F5277E">
        <w:t>nature;</w:t>
      </w:r>
      <w:proofErr w:type="gramEnd"/>
    </w:p>
    <w:p w14:paraId="17807CE6" w14:textId="4BFCBAF6" w:rsidR="009F090D" w:rsidRPr="00F5277E" w:rsidRDefault="009F090D" w:rsidP="006F35E7">
      <w:pPr>
        <w:pStyle w:val="Bullet"/>
      </w:pPr>
      <w:r w:rsidRPr="00F5277E">
        <w:t>the breach is self</w:t>
      </w:r>
      <w:r w:rsidR="00D11EC8">
        <w:noBreakHyphen/>
      </w:r>
      <w:r w:rsidRPr="00F5277E">
        <w:t xml:space="preserve">reported by the </w:t>
      </w:r>
      <w:r w:rsidRPr="006F35E7">
        <w:t>offending</w:t>
      </w:r>
      <w:r w:rsidRPr="00F5277E">
        <w:t xml:space="preserve"> </w:t>
      </w:r>
      <w:proofErr w:type="gramStart"/>
      <w:r w:rsidRPr="00F5277E">
        <w:t>person;</w:t>
      </w:r>
      <w:proofErr w:type="gramEnd"/>
    </w:p>
    <w:p w14:paraId="37444917" w14:textId="77777777" w:rsidR="009F090D" w:rsidRPr="00F5277E" w:rsidRDefault="009F090D" w:rsidP="006F35E7">
      <w:pPr>
        <w:pStyle w:val="Bullet"/>
      </w:pPr>
      <w:r w:rsidRPr="00F5277E">
        <w:t xml:space="preserve">the person is willing to </w:t>
      </w:r>
      <w:r w:rsidRPr="006F35E7">
        <w:t>remediate</w:t>
      </w:r>
      <w:r w:rsidRPr="00F5277E">
        <w:t xml:space="preserve"> their breach as quickly as possible; and/or</w:t>
      </w:r>
    </w:p>
    <w:p w14:paraId="51B4C069" w14:textId="77777777" w:rsidR="009F090D" w:rsidRPr="00F5277E" w:rsidRDefault="009F090D" w:rsidP="006F35E7">
      <w:pPr>
        <w:pStyle w:val="Bullet"/>
      </w:pPr>
      <w:r w:rsidRPr="00F5277E">
        <w:t xml:space="preserve">in circumstances where the investor should have sought </w:t>
      </w:r>
      <w:r w:rsidRPr="006F35E7">
        <w:t>approval</w:t>
      </w:r>
      <w:r w:rsidRPr="00F5277E">
        <w:t>, but has not, the person would likely have been granted that approval had they sought it.</w:t>
      </w:r>
    </w:p>
    <w:p w14:paraId="1E4659CF" w14:textId="690FBD40" w:rsidR="009F090D" w:rsidRDefault="009F090D" w:rsidP="00D11EC8">
      <w:r w:rsidRPr="00F5277E">
        <w:t>There are three tiers of possible infringement notices that may be issued</w:t>
      </w:r>
      <w:r w:rsidR="00DE5BB5">
        <w:t>.</w:t>
      </w:r>
      <w:r w:rsidRPr="00F5277E">
        <w:rPr>
          <w:rStyle w:val="FootnoteReference"/>
        </w:rPr>
        <w:footnoteReference w:id="5"/>
      </w:r>
      <w:r w:rsidRPr="00F5277E">
        <w:t xml:space="preserve"> A Tier 1 infringement notice can only be issued when the person self</w:t>
      </w:r>
      <w:r w:rsidR="00D11EC8">
        <w:noBreakHyphen/>
      </w:r>
      <w:r w:rsidRPr="00F5277E">
        <w:t>discloses their breach. If the person fails to self</w:t>
      </w:r>
      <w:r w:rsidR="00D11EC8">
        <w:noBreakHyphen/>
      </w:r>
      <w:r w:rsidRPr="00F5277E">
        <w:t>disclose their breach, a higher Tier 2 or Tier 3 infringement notice may apply</w:t>
      </w:r>
      <w:r w:rsidR="00DE5BB5">
        <w:t>.</w:t>
      </w:r>
      <w:r w:rsidRPr="00F5277E">
        <w:rPr>
          <w:rStyle w:val="FootnoteReference"/>
        </w:rPr>
        <w:footnoteReference w:id="6"/>
      </w:r>
      <w:r w:rsidRPr="00F5277E">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ook w:val="04A0" w:firstRow="1" w:lastRow="0" w:firstColumn="1" w:lastColumn="0" w:noHBand="0" w:noVBand="1"/>
      </w:tblPr>
      <w:tblGrid>
        <w:gridCol w:w="8504"/>
      </w:tblGrid>
      <w:tr w:rsidR="006F35E7" w14:paraId="7862A95C" w14:textId="77777777" w:rsidTr="006F35E7">
        <w:tc>
          <w:tcPr>
            <w:tcW w:w="5000" w:type="pct"/>
            <w:shd w:val="clear" w:color="auto" w:fill="E5F6FF"/>
            <w:tcMar>
              <w:top w:w="227" w:type="dxa"/>
              <w:left w:w="227" w:type="dxa"/>
              <w:bottom w:w="227" w:type="dxa"/>
              <w:right w:w="227" w:type="dxa"/>
            </w:tcMar>
          </w:tcPr>
          <w:p w14:paraId="364B5EB9" w14:textId="1BDC2362" w:rsidR="006F35E7" w:rsidRPr="00F5277E" w:rsidRDefault="006F35E7" w:rsidP="006F35E7">
            <w:pPr>
              <w:pStyle w:val="BoxHeading"/>
            </w:pPr>
            <w:r w:rsidRPr="00F5277E">
              <w:t xml:space="preserve">Example </w:t>
            </w:r>
            <w:r w:rsidR="000C57AD">
              <w:fldChar w:fldCharType="begin"/>
            </w:r>
            <w:r w:rsidR="000C57AD">
              <w:instrText xml:space="preserve"> seq list1 </w:instrText>
            </w:r>
            <w:r w:rsidR="000C57AD">
              <w:fldChar w:fldCharType="separate"/>
            </w:r>
            <w:r w:rsidR="0017072F">
              <w:rPr>
                <w:noProof/>
              </w:rPr>
              <w:t>4</w:t>
            </w:r>
            <w:r w:rsidR="000C57AD">
              <w:rPr>
                <w:noProof/>
              </w:rPr>
              <w:fldChar w:fldCharType="end"/>
            </w:r>
          </w:p>
          <w:p w14:paraId="047DBCB9" w14:textId="77777777" w:rsidR="006F35E7" w:rsidRPr="00F5277E" w:rsidRDefault="006F35E7" w:rsidP="006F35E7">
            <w:pPr>
              <w:pStyle w:val="BoxText"/>
            </w:pPr>
            <w:r w:rsidRPr="00F5277E">
              <w:t xml:space="preserve">Peter, who is a foreign person, acquires a new unit without obtaining foreign investment approval. </w:t>
            </w:r>
          </w:p>
          <w:p w14:paraId="66BDACB1" w14:textId="77777777" w:rsidR="006F35E7" w:rsidRPr="00F5277E" w:rsidRDefault="006F35E7" w:rsidP="006F35E7">
            <w:pPr>
              <w:pStyle w:val="BoxText"/>
            </w:pPr>
            <w:r w:rsidRPr="00F5277E">
              <w:t>If Peter had applied for approval (and paid the relevant application fee) it is likely that he would have been approved to purchase the property. This circumstance is considered to involve a less serious contravention of the law and therefore an infringement notice could be appropriate.</w:t>
            </w:r>
          </w:p>
          <w:p w14:paraId="1596F7F1" w14:textId="77777777" w:rsidR="006F35E7" w:rsidRPr="00F5277E" w:rsidRDefault="006F35E7" w:rsidP="006F35E7">
            <w:pPr>
              <w:pStyle w:val="BoxText"/>
            </w:pPr>
            <w:r w:rsidRPr="00F5277E">
              <w:t xml:space="preserve">If, after acquiring the unit, Peter subsequently realises that he should have sought prior approval for his purchase of the unit, and he immediately notifies the Government of this breach, a Tier 1 infringement notice may be applicable. </w:t>
            </w:r>
          </w:p>
          <w:p w14:paraId="5BB292C5" w14:textId="77777777" w:rsidR="006F35E7" w:rsidRPr="00F5277E" w:rsidRDefault="006F35E7" w:rsidP="006F35E7">
            <w:pPr>
              <w:pStyle w:val="BoxText"/>
            </w:pPr>
            <w:r w:rsidRPr="00F5277E">
              <w:t>If, on the other hand, the Government identifies the breach through its own compliance activities, it is more likely that a higher Tier 2 or 3 infringement notice may be issued.</w:t>
            </w:r>
          </w:p>
          <w:p w14:paraId="1291A48E" w14:textId="075FE389" w:rsidR="006F35E7" w:rsidRDefault="006F35E7" w:rsidP="006F35E7">
            <w:pPr>
              <w:pStyle w:val="BoxText"/>
            </w:pPr>
            <w:r w:rsidRPr="00F5277E">
              <w:t xml:space="preserve">Peter will also be required to seek retrospective approval for the </w:t>
            </w:r>
            <w:proofErr w:type="gramStart"/>
            <w:r w:rsidRPr="00F5277E">
              <w:t>unit, or</w:t>
            </w:r>
            <w:proofErr w:type="gramEnd"/>
            <w:r w:rsidRPr="00F5277E">
              <w:t xml:space="preserve"> dispose of the unit. </w:t>
            </w:r>
          </w:p>
        </w:tc>
      </w:tr>
    </w:tbl>
    <w:p w14:paraId="0F81B686" w14:textId="77777777" w:rsidR="006F35E7" w:rsidRPr="00F5277E" w:rsidRDefault="006F35E7" w:rsidP="00D11EC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ook w:val="04A0" w:firstRow="1" w:lastRow="0" w:firstColumn="1" w:lastColumn="0" w:noHBand="0" w:noVBand="1"/>
      </w:tblPr>
      <w:tblGrid>
        <w:gridCol w:w="8504"/>
      </w:tblGrid>
      <w:tr w:rsidR="009F090D" w:rsidRPr="00F5277E" w14:paraId="640327F4" w14:textId="77777777" w:rsidTr="006F35E7">
        <w:tc>
          <w:tcPr>
            <w:tcW w:w="5000" w:type="pct"/>
            <w:shd w:val="clear" w:color="auto" w:fill="E5F6FF"/>
            <w:tcMar>
              <w:top w:w="227" w:type="dxa"/>
              <w:left w:w="227" w:type="dxa"/>
              <w:bottom w:w="227" w:type="dxa"/>
              <w:right w:w="227" w:type="dxa"/>
            </w:tcMar>
          </w:tcPr>
          <w:p w14:paraId="585D7228" w14:textId="674625FD" w:rsidR="009F090D" w:rsidRPr="00F5277E" w:rsidRDefault="009F090D" w:rsidP="006F35E7">
            <w:pPr>
              <w:pStyle w:val="BoxHeading"/>
            </w:pPr>
            <w:r w:rsidRPr="00F5277E">
              <w:lastRenderedPageBreak/>
              <w:t xml:space="preserve">Example </w:t>
            </w:r>
            <w:r w:rsidR="000C57AD">
              <w:fldChar w:fldCharType="begin"/>
            </w:r>
            <w:r w:rsidR="000C57AD">
              <w:instrText xml:space="preserve"> seq list1 </w:instrText>
            </w:r>
            <w:r w:rsidR="000C57AD">
              <w:fldChar w:fldCharType="separate"/>
            </w:r>
            <w:r w:rsidR="0017072F">
              <w:rPr>
                <w:noProof/>
              </w:rPr>
              <w:t>5</w:t>
            </w:r>
            <w:r w:rsidR="000C57AD">
              <w:rPr>
                <w:noProof/>
              </w:rPr>
              <w:fldChar w:fldCharType="end"/>
            </w:r>
          </w:p>
          <w:p w14:paraId="13F13F9A" w14:textId="253E8F3E" w:rsidR="009F090D" w:rsidRPr="00F5277E" w:rsidRDefault="009F090D" w:rsidP="006F35E7">
            <w:pPr>
              <w:pStyle w:val="BoxText"/>
            </w:pPr>
            <w:r w:rsidRPr="00F5277E">
              <w:t xml:space="preserve">Chandler and Joey, who are both foreign persons, acquire a </w:t>
            </w:r>
            <w:r w:rsidR="00C76C39">
              <w:t xml:space="preserve">new </w:t>
            </w:r>
            <w:r w:rsidRPr="00F5277E">
              <w:t>property together as joint tenants in Queensland. Neither applied for foreign investment approval before acquiring the property.</w:t>
            </w:r>
          </w:p>
          <w:p w14:paraId="2921ACF8" w14:textId="77777777" w:rsidR="009F090D" w:rsidRPr="00F5277E" w:rsidRDefault="009F090D" w:rsidP="006F35E7">
            <w:pPr>
              <w:pStyle w:val="BoxText"/>
            </w:pPr>
            <w:r w:rsidRPr="00F5277E">
              <w:t>If they had applied for approval (and paid the relevant application fee) it is likely that they would have been approved to purchase the property. This circumstance is considered to involve a less serious contravention of the law and therefore an infringement notice could be appropriate.</w:t>
            </w:r>
          </w:p>
          <w:p w14:paraId="0BF57E83" w14:textId="77777777" w:rsidR="009F090D" w:rsidRPr="00F5277E" w:rsidRDefault="009F090D" w:rsidP="006F35E7">
            <w:pPr>
              <w:pStyle w:val="BoxText"/>
            </w:pPr>
            <w:r w:rsidRPr="00F5277E">
              <w:t>If an infringement notice is issued for this breach of the law, both Chandler and Joey will be liable for an infringement notice.</w:t>
            </w:r>
          </w:p>
        </w:tc>
      </w:tr>
    </w:tbl>
    <w:p w14:paraId="453E7F6A" w14:textId="77777777" w:rsidR="009F090D" w:rsidRPr="00F5277E" w:rsidRDefault="009F090D" w:rsidP="006F35E7">
      <w:r w:rsidRPr="00F5277E">
        <w:t>An infringement notice issued to a foreign person</w:t>
      </w:r>
      <w:r w:rsidRPr="00F5277E">
        <w:rPr>
          <w:rStyle w:val="FootnoteReference"/>
        </w:rPr>
        <w:footnoteReference w:id="7"/>
      </w:r>
      <w:r w:rsidRPr="00F5277E">
        <w:t xml:space="preserve"> in relation to residential land will set out </w:t>
      </w:r>
      <w:proofErr w:type="gramStart"/>
      <w:r w:rsidRPr="00F5277E">
        <w:t>a number of</w:t>
      </w:r>
      <w:proofErr w:type="gramEnd"/>
      <w:r w:rsidRPr="00F5277E">
        <w:t xml:space="preserve"> matters, including:</w:t>
      </w:r>
    </w:p>
    <w:p w14:paraId="09AAEDD0" w14:textId="77777777" w:rsidR="009F090D" w:rsidRPr="00F5277E" w:rsidRDefault="009F090D" w:rsidP="006F35E7">
      <w:pPr>
        <w:pStyle w:val="Bullet"/>
      </w:pPr>
      <w:r w:rsidRPr="00F5277E">
        <w:t>brief details of the alleged contravention, including the provision of the Act</w:t>
      </w:r>
      <w:r w:rsidRPr="00F5277E">
        <w:rPr>
          <w:color w:val="2C384A" w:themeColor="accent1"/>
        </w:rPr>
        <w:t xml:space="preserve"> </w:t>
      </w:r>
      <w:r w:rsidRPr="00F5277E">
        <w:t xml:space="preserve">that was allegedly </w:t>
      </w:r>
      <w:proofErr w:type="gramStart"/>
      <w:r w:rsidRPr="00F5277E">
        <w:t>contravened;</w:t>
      </w:r>
      <w:proofErr w:type="gramEnd"/>
    </w:p>
    <w:p w14:paraId="7D71F20A" w14:textId="77777777" w:rsidR="009F090D" w:rsidRPr="00F5277E" w:rsidRDefault="009F090D" w:rsidP="006F35E7">
      <w:pPr>
        <w:pStyle w:val="Bullet"/>
      </w:pPr>
      <w:r w:rsidRPr="00F5277E">
        <w:t xml:space="preserve">the name and contact details of the infringement officer </w:t>
      </w:r>
      <w:r w:rsidRPr="006F35E7">
        <w:t>issuing</w:t>
      </w:r>
      <w:r w:rsidRPr="00F5277E">
        <w:t xml:space="preserve"> the </w:t>
      </w:r>
      <w:proofErr w:type="gramStart"/>
      <w:r w:rsidRPr="00F5277E">
        <w:t>notice;</w:t>
      </w:r>
      <w:proofErr w:type="gramEnd"/>
    </w:p>
    <w:p w14:paraId="175F73A7" w14:textId="77777777" w:rsidR="009F090D" w:rsidRPr="00F5277E" w:rsidRDefault="009F090D" w:rsidP="006F35E7">
      <w:pPr>
        <w:pStyle w:val="Bullet"/>
      </w:pPr>
      <w:r w:rsidRPr="00F5277E">
        <w:t xml:space="preserve">the amount payable and how that </w:t>
      </w:r>
      <w:r w:rsidRPr="006F35E7">
        <w:t>amount</w:t>
      </w:r>
      <w:r w:rsidRPr="00F5277E">
        <w:t xml:space="preserve"> is to be </w:t>
      </w:r>
      <w:proofErr w:type="gramStart"/>
      <w:r w:rsidRPr="00F5277E">
        <w:t>paid;</w:t>
      </w:r>
      <w:proofErr w:type="gramEnd"/>
      <w:r w:rsidRPr="00F5277E">
        <w:t xml:space="preserve"> </w:t>
      </w:r>
    </w:p>
    <w:p w14:paraId="43E4979F" w14:textId="77777777" w:rsidR="009F090D" w:rsidRPr="00F5277E" w:rsidRDefault="009F090D" w:rsidP="006F35E7">
      <w:pPr>
        <w:pStyle w:val="Bullet"/>
      </w:pPr>
      <w:r w:rsidRPr="00F5277E">
        <w:t xml:space="preserve">a statement that payment of the amount does not constitute an </w:t>
      </w:r>
      <w:r w:rsidRPr="006F35E7">
        <w:t>admission</w:t>
      </w:r>
      <w:r w:rsidRPr="00F5277E">
        <w:t xml:space="preserve"> of guilt or liability; and</w:t>
      </w:r>
    </w:p>
    <w:p w14:paraId="33999351" w14:textId="77777777" w:rsidR="009F090D" w:rsidRPr="00F5277E" w:rsidRDefault="009F090D" w:rsidP="006F35E7">
      <w:pPr>
        <w:pStyle w:val="Bullet"/>
      </w:pPr>
      <w:r w:rsidRPr="00F5277E">
        <w:t xml:space="preserve">a statement that if payment is made within 28 days of the notice being </w:t>
      </w:r>
      <w:r w:rsidRPr="006F35E7">
        <w:t>given</w:t>
      </w:r>
      <w:r w:rsidRPr="00F5277E">
        <w:t xml:space="preserve"> that it precludes court proceedings (seeking a civil penalty order) being brought against the person for the alleged contravention (unless the notice is subsequently withdrawn). </w:t>
      </w:r>
    </w:p>
    <w:p w14:paraId="25B55B20" w14:textId="77777777" w:rsidR="009F090D" w:rsidRPr="00F5277E" w:rsidRDefault="009F090D" w:rsidP="00D11EC8">
      <w:r w:rsidRPr="00F5277E">
        <w:t>If the person pays the amount payable by the due date, any liability for the contravention of the relevant provision is discharged and proceedings to seek a civil penalty order cannot be sought for the contravention (unless the notice is withdrawn and the amount paid is refunded to the</w:t>
      </w:r>
      <w:r>
        <w:t> </w:t>
      </w:r>
      <w:r w:rsidRPr="00F5277E">
        <w:t xml:space="preserve">person). </w:t>
      </w:r>
    </w:p>
    <w:p w14:paraId="3975A627" w14:textId="77777777" w:rsidR="009F090D" w:rsidRPr="00F5277E" w:rsidRDefault="009F090D" w:rsidP="006F35E7">
      <w:r w:rsidRPr="00F5277E">
        <w:t xml:space="preserve">A person who receives an infringement notice may seek an extension of time to pay the amount and can also apply in writing to have the notice withdrawn. </w:t>
      </w:r>
      <w:r>
        <w:t>These must be submitted before the infringement notice due date.</w:t>
      </w:r>
    </w:p>
    <w:p w14:paraId="7174039A" w14:textId="77777777" w:rsidR="009F090D" w:rsidRPr="00F5277E" w:rsidRDefault="009F090D" w:rsidP="00D11EC8">
      <w:r w:rsidRPr="00F5277E">
        <w:t>Where the amount payable by a person under an infringement notice is not paid, the Treasurer can apply to a relevant court for a civil penalty</w:t>
      </w:r>
      <w:r w:rsidRPr="00F5277E">
        <w:rPr>
          <w:color w:val="2C384A" w:themeColor="accent1"/>
        </w:rPr>
        <w:t xml:space="preserve"> </w:t>
      </w:r>
      <w:r w:rsidRPr="00F5277E">
        <w:t>order.</w:t>
      </w:r>
    </w:p>
    <w:p w14:paraId="2EB832BE" w14:textId="77777777" w:rsidR="00667C27" w:rsidRDefault="00667C27">
      <w:pPr>
        <w:spacing w:before="0" w:after="0"/>
        <w:rPr>
          <w:rFonts w:ascii="Calibri" w:hAnsi="Calibri" w:cs="Arial"/>
          <w:iCs/>
          <w:color w:val="2C384A"/>
          <w:kern w:val="32"/>
          <w:sz w:val="36"/>
          <w:szCs w:val="28"/>
        </w:rPr>
      </w:pPr>
      <w:r>
        <w:br w:type="page"/>
      </w:r>
    </w:p>
    <w:p w14:paraId="0ABB1832" w14:textId="27D84412" w:rsidR="009F090D" w:rsidRPr="00F5277E" w:rsidRDefault="009F090D" w:rsidP="00D11EC8">
      <w:pPr>
        <w:pStyle w:val="Heading2"/>
      </w:pPr>
      <w:bookmarkStart w:id="9" w:name="_Toc192078887"/>
      <w:r w:rsidRPr="00F5277E">
        <w:lastRenderedPageBreak/>
        <w:t>E: The types of penalties – civil and criminal penalties</w:t>
      </w:r>
      <w:bookmarkEnd w:id="9"/>
    </w:p>
    <w:p w14:paraId="469BE359" w14:textId="77777777" w:rsidR="009F090D" w:rsidRPr="00F5277E" w:rsidRDefault="009F090D" w:rsidP="00D11EC8">
      <w:r w:rsidRPr="00F5277E">
        <w:t>Some contraventions of the foreign investment law in relation to residential land can be punishable by a civil penalty. Where the Treasurer (or the Commissioner of Taxation) decides that this is an appropriate penalty, the Treasurer (or the Commissioner of Taxation) can apply to a relevant court for a civil penalty order.</w:t>
      </w:r>
    </w:p>
    <w:p w14:paraId="656D951D" w14:textId="77777777" w:rsidR="009F090D" w:rsidRPr="00F5277E" w:rsidRDefault="009F090D" w:rsidP="00D11EC8">
      <w:bookmarkStart w:id="10" w:name="_Infringement_notices_for"/>
      <w:bookmarkStart w:id="11" w:name="_Third_party_obligations"/>
      <w:bookmarkStart w:id="12" w:name="_Recovering_unpaid_penalties"/>
      <w:bookmarkEnd w:id="10"/>
      <w:bookmarkEnd w:id="11"/>
      <w:bookmarkEnd w:id="12"/>
      <w:r w:rsidRPr="00F5277E">
        <w:t>If the court orders that a civil penalty is payable, this is a debt that is due and payable to the</w:t>
      </w:r>
      <w:r>
        <w:t> </w:t>
      </w:r>
      <w:r w:rsidRPr="00F5277E">
        <w:t>Commonwealth.</w:t>
      </w:r>
    </w:p>
    <w:p w14:paraId="37FE53D3" w14:textId="77777777" w:rsidR="009F090D" w:rsidRPr="00F5277E" w:rsidRDefault="009F090D" w:rsidP="00D11EC8">
      <w:r w:rsidRPr="00F5277E">
        <w:t xml:space="preserve">To help ensure that any person who is ordered to pay a pecuniary penalty </w:t>
      </w:r>
      <w:proofErr w:type="gramStart"/>
      <w:r w:rsidRPr="00F5277E">
        <w:t>actually pays</w:t>
      </w:r>
      <w:proofErr w:type="gramEnd"/>
      <w:r w:rsidRPr="00F5277E">
        <w:t xml:space="preserve"> that penalty, in some circumstances a charge may be created over land owned by the person. </w:t>
      </w:r>
    </w:p>
    <w:p w14:paraId="32E29AC6" w14:textId="77777777" w:rsidR="009F090D" w:rsidRPr="00F5277E" w:rsidRDefault="009F090D" w:rsidP="00D11EC8">
      <w:pPr>
        <w:pStyle w:val="Heading3"/>
      </w:pPr>
      <w:r w:rsidRPr="00F5277E">
        <w:t xml:space="preserve">In what circumstances is a charge created? </w:t>
      </w:r>
    </w:p>
    <w:p w14:paraId="3A585E98" w14:textId="7D61D85D" w:rsidR="009F090D" w:rsidRPr="00F5277E" w:rsidRDefault="009F090D" w:rsidP="00D11EC8">
      <w:r w:rsidRPr="00F5277E">
        <w:t>Broadly, if a court orders that a person must pay a civil penalty because the person contravened a requirement under the Act relating to an acquisition of residential land, a charge is automatically created on that land under section 104 of the Act to secure the payment of the</w:t>
      </w:r>
      <w:r>
        <w:t> </w:t>
      </w:r>
      <w:r w:rsidRPr="00F5277E">
        <w:t>penalty</w:t>
      </w:r>
      <w:r w:rsidR="00D11EC8">
        <w:t xml:space="preserve">. </w:t>
      </w:r>
    </w:p>
    <w:p w14:paraId="6B31BDB0" w14:textId="77777777" w:rsidR="009F090D" w:rsidRPr="00F5277E" w:rsidRDefault="009F090D" w:rsidP="00D11EC8">
      <w:r w:rsidRPr="00F5277E">
        <w:t xml:space="preserve">In some circumstances, the Treasurer may also declare under section 105 of the Act that there is a charge on other land owned by a person (including land that was lawfully acquired) who has been ordered to pay a civil penalty, if the Treasurer is satisfied that it is necessary to do so to secure the payment of the civil penalty. </w:t>
      </w:r>
    </w:p>
    <w:p w14:paraId="6E470C49" w14:textId="77777777" w:rsidR="009F090D" w:rsidRPr="00F5277E" w:rsidRDefault="009F090D" w:rsidP="00D11EC8">
      <w:r w:rsidRPr="00F5277E">
        <w:t xml:space="preserve">The charge will remain in force until the person pays the civil penalty and certain associated costs. A charge has priority over any other interests in the land, including any registered mortgage, and is not affected by a change in ownership of the land. </w:t>
      </w:r>
    </w:p>
    <w:p w14:paraId="36AF3665" w14:textId="77777777" w:rsidR="009F090D" w:rsidRDefault="009F090D" w:rsidP="00D11EC8">
      <w:r w:rsidRPr="00F5277E">
        <w:t xml:space="preserve">If the person still has not paid the civil penalty and certain associated costs by a particular time (usually three months, unless a court or the Treasurer decide on a longer period), the land will vest in the Commonwealth under section 107 of the Act. The Treasurer may then sell the land. </w:t>
      </w:r>
    </w:p>
    <w:p w14:paraId="6C95F406" w14:textId="6BB67455" w:rsidR="00FA40B2" w:rsidRPr="00F5277E" w:rsidRDefault="00FA40B2" w:rsidP="00D11EC8">
      <w:r w:rsidRPr="00FA40B2">
        <w:t xml:space="preserve">Similarly, where a vacancy fee liability is raised in respect of a failure to lodge a vacancy fee return or the property not being occupied for 183 or more days in the </w:t>
      </w:r>
      <w:r w:rsidR="00077798">
        <w:t>vacancy</w:t>
      </w:r>
      <w:r w:rsidRPr="00FA40B2">
        <w:t xml:space="preserve"> fee year, and remains unpaid, a charge may be raised on any land interest held by the investor under section 115K and 115L of the Act. The charge remains in force until the unpaid liabilities and any Commonwealth costs in recovering these are paid. A change in ownership does not affect the charge</w:t>
      </w:r>
      <w:r w:rsidR="00345FBD">
        <w:t>.</w:t>
      </w:r>
      <w:r w:rsidRPr="00FA40B2">
        <w:t xml:space="preserve"> </w:t>
      </w:r>
      <w:r w:rsidR="000A44A9">
        <w:t>A court may make an order</w:t>
      </w:r>
      <w:r w:rsidRPr="00FA40B2">
        <w:t xml:space="preserve"> vest</w:t>
      </w:r>
      <w:r w:rsidR="000A44A9">
        <w:t>ing an interest in the land</w:t>
      </w:r>
      <w:r w:rsidRPr="00FA40B2">
        <w:t xml:space="preserve"> in the Commonwealth under section 115P of the Act. The land may then be sold</w:t>
      </w:r>
      <w:r w:rsidR="000A44A9">
        <w:t xml:space="preserve"> by the Commonwealth</w:t>
      </w:r>
      <w:r w:rsidRPr="00FA40B2">
        <w:t>.</w:t>
      </w:r>
    </w:p>
    <w:p w14:paraId="7AC68D7D" w14:textId="77777777" w:rsidR="009F090D" w:rsidRPr="00F5277E" w:rsidRDefault="009F090D" w:rsidP="00D11EC8">
      <w:pPr>
        <w:pStyle w:val="Heading3"/>
      </w:pPr>
      <w:r w:rsidRPr="00F5277E">
        <w:t>How to tell if there is a charge over land?</w:t>
      </w:r>
    </w:p>
    <w:p w14:paraId="2E2EFB95" w14:textId="77777777" w:rsidR="009F090D" w:rsidRPr="00F5277E" w:rsidRDefault="009F090D" w:rsidP="00D11EC8">
      <w:r w:rsidRPr="00F5277E">
        <w:t>To ensure that any potential purchaser is aware that a charge applies over the land, any charge created under the Act</w:t>
      </w:r>
      <w:r w:rsidRPr="004F7F3F">
        <w:rPr>
          <w:color w:val="2C384A" w:themeColor="accent1"/>
        </w:rPr>
        <w:t xml:space="preserve"> </w:t>
      </w:r>
      <w:r w:rsidRPr="00F5277E">
        <w:t xml:space="preserve">will be registered on the land title register in the </w:t>
      </w:r>
      <w:r>
        <w:t>s</w:t>
      </w:r>
      <w:r w:rsidRPr="00F5277E">
        <w:t xml:space="preserve">tate or </w:t>
      </w:r>
      <w:r>
        <w:t>t</w:t>
      </w:r>
      <w:r w:rsidRPr="00F5277E">
        <w:t>erritory in which the land is located. This will ensure that a potential buyer of the property is aware that there is a charge over the land.</w:t>
      </w:r>
    </w:p>
    <w:p w14:paraId="64AEF86D" w14:textId="77777777" w:rsidR="000C57AD" w:rsidRDefault="000C57AD">
      <w:pPr>
        <w:spacing w:before="0" w:after="0"/>
        <w:rPr>
          <w:rFonts w:ascii="Calibri" w:hAnsi="Calibri" w:cs="Arial"/>
          <w:b/>
          <w:color w:val="4D7861" w:themeColor="accent2"/>
          <w:kern w:val="32"/>
          <w:sz w:val="28"/>
          <w:szCs w:val="26"/>
        </w:rPr>
      </w:pPr>
      <w:r>
        <w:br w:type="page"/>
      </w:r>
    </w:p>
    <w:p w14:paraId="5B7650AE" w14:textId="1B81FC0B" w:rsidR="009F090D" w:rsidRPr="00F5277E" w:rsidRDefault="009F090D" w:rsidP="00D11EC8">
      <w:pPr>
        <w:pStyle w:val="Heading3"/>
      </w:pPr>
      <w:r w:rsidRPr="00F5277E">
        <w:lastRenderedPageBreak/>
        <w:t>Contraventions that can be subject to criminal prosecution</w:t>
      </w:r>
    </w:p>
    <w:p w14:paraId="6501FCF9" w14:textId="77777777" w:rsidR="009F090D" w:rsidRPr="00F5277E" w:rsidRDefault="009F090D" w:rsidP="00D11EC8">
      <w:r w:rsidRPr="00F5277E">
        <w:t>Where the behaviour involved in a breach of the foreign investment law relating to residential land is considered serious enough, this may be able to be referred for criminal prosecution.</w:t>
      </w:r>
    </w:p>
    <w:p w14:paraId="1852CD87" w14:textId="5199C595" w:rsidR="009F090D" w:rsidRPr="00F5277E" w:rsidRDefault="009F090D" w:rsidP="00D11EC8">
      <w:r w:rsidRPr="00F5277E">
        <w:t xml:space="preserve">If the Treasurer identifies such a breach that is serious enough to warrant criminal prosecution, the Treasurer will refer the matter to the relevant authority (such as the Australian Federal Police or the Director of Public Prosecutions). The Treasurer will continue to assist those authorities as required to prosecute the breach. </w:t>
      </w:r>
    </w:p>
    <w:p w14:paraId="3BA36B31" w14:textId="70C8D6C8" w:rsidR="006F35E7" w:rsidRDefault="009F090D" w:rsidP="00D11EC8">
      <w:r w:rsidRPr="00F5277E">
        <w:t>Cases of non</w:t>
      </w:r>
      <w:r w:rsidR="00D11EC8">
        <w:noBreakHyphen/>
      </w:r>
      <w:r w:rsidRPr="00F5277E">
        <w:t xml:space="preserve">compliance with </w:t>
      </w:r>
      <w:r w:rsidR="00AD07FD">
        <w:t>the</w:t>
      </w:r>
      <w:r w:rsidR="00AD07FD" w:rsidRPr="00F5277E">
        <w:t xml:space="preserve"> </w:t>
      </w:r>
      <w:r w:rsidRPr="00F5277E">
        <w:t>foreign investment law may also be brought to the attention of other Commonwealth agencies, such as the Department of Home Affairs.</w:t>
      </w:r>
    </w:p>
    <w:p w14:paraId="075404A8" w14:textId="2F7ED039" w:rsidR="009F090D" w:rsidRPr="00F5277E" w:rsidRDefault="009F090D" w:rsidP="00D11EC8">
      <w:pPr>
        <w:pStyle w:val="Heading2"/>
      </w:pPr>
      <w:bookmarkStart w:id="13" w:name="_Toc192078888"/>
      <w:r w:rsidRPr="00F5277E">
        <w:t>Further information</w:t>
      </w:r>
      <w:bookmarkEnd w:id="13"/>
    </w:p>
    <w:p w14:paraId="3D4349F1" w14:textId="015FF610" w:rsidR="009F090D" w:rsidRPr="00F5277E" w:rsidRDefault="009F090D" w:rsidP="00D11EC8">
      <w:r w:rsidRPr="00F5277E">
        <w:t>Further information is available on the</w:t>
      </w:r>
      <w:r w:rsidR="00DA5E7D">
        <w:t xml:space="preserve"> </w:t>
      </w:r>
      <w:hyperlink r:id="rId13" w:history="1">
        <w:r w:rsidR="00DA5E7D" w:rsidRPr="00DA5E7D">
          <w:rPr>
            <w:rStyle w:val="Hyperlink"/>
          </w:rPr>
          <w:t>Foreign Investment website</w:t>
        </w:r>
      </w:hyperlink>
      <w:r w:rsidRPr="00F5277E">
        <w:t xml:space="preserve"> by contacting 1800 050 377 from Australia or +61 2 6216 1111 from overseas.</w:t>
      </w:r>
    </w:p>
    <w:p w14:paraId="23895C99" w14:textId="21B47AF3" w:rsidR="00DE74EC" w:rsidRPr="00045C24" w:rsidRDefault="009F090D" w:rsidP="0069713D">
      <w:r w:rsidRPr="00F5277E">
        <w:rPr>
          <w:b/>
        </w:rPr>
        <w:t>Important notice</w:t>
      </w:r>
      <w:r w:rsidRPr="00F5277E">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F5277E">
        <w:t>particular circumstances</w:t>
      </w:r>
      <w:proofErr w:type="gramEnd"/>
      <w:r w:rsidRPr="00F5277E">
        <w:t xml:space="preserve"> must be taken into account when determining how the law applies to you. This Guidance Note is therefore not a substitute for obtaining your own legal advice.</w:t>
      </w:r>
    </w:p>
    <w:sectPr w:rsidR="00DE74EC" w:rsidRPr="00045C24" w:rsidSect="00300C95">
      <w:headerReference w:type="default" r:id="rId14"/>
      <w:footerReference w:type="default" r:id="rId15"/>
      <w:headerReference w:type="first" r:id="rId16"/>
      <w:footerReference w:type="first" r:id="rId17"/>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23F6" w14:textId="77777777" w:rsidR="0076589C" w:rsidRDefault="0076589C" w:rsidP="00886BC4">
      <w:r>
        <w:separator/>
      </w:r>
    </w:p>
    <w:p w14:paraId="43824572" w14:textId="77777777" w:rsidR="0076589C" w:rsidRDefault="0076589C"/>
  </w:endnote>
  <w:endnote w:type="continuationSeparator" w:id="0">
    <w:p w14:paraId="0F8430F8" w14:textId="77777777" w:rsidR="0076589C" w:rsidRDefault="0076589C" w:rsidP="00886BC4">
      <w:r>
        <w:continuationSeparator/>
      </w:r>
    </w:p>
    <w:p w14:paraId="5D575C67" w14:textId="77777777" w:rsidR="0076589C" w:rsidRDefault="0076589C"/>
  </w:endnote>
  <w:endnote w:type="continuationNotice" w:id="1">
    <w:p w14:paraId="180924DC" w14:textId="77777777" w:rsidR="0076589C" w:rsidRDefault="00765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507654FA" w:rsidR="00A15DB7" w:rsidRPr="00E81A92" w:rsidRDefault="00161CFC" w:rsidP="00161CFC">
    <w:pPr>
      <w:pStyle w:val="Footer"/>
      <w:tabs>
        <w:tab w:val="clear" w:pos="4320"/>
      </w:tabs>
      <w:jc w:val="right"/>
    </w:pPr>
    <w:r w:rsidRPr="00AC3B66">
      <w:rPr>
        <w:noProof/>
        <w:position w:val="-10"/>
      </w:rPr>
      <w:drawing>
        <wp:inline distT="0" distB="0" distL="0" distR="0" wp14:anchorId="65568B4A" wp14:editId="442A8B4C">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5E2CC1">
      <w:t xml:space="preserve">Version </w:t>
    </w:r>
    <w:r w:rsidR="000024C3">
      <w:t>4</w:t>
    </w:r>
    <w:r w:rsidR="005E2CC1">
      <w:t xml:space="preserve"> (</w:t>
    </w:r>
    <w:r w:rsidR="00E81C05">
      <w:t>14</w:t>
    </w:r>
    <w:r w:rsidR="00EA413A">
      <w:t xml:space="preserve"> March</w:t>
    </w:r>
    <w:r w:rsidR="000024C3">
      <w:t xml:space="preserve"> 2025</w:t>
    </w:r>
    <w:r w:rsidR="005E2CC1">
      <w:t>)</w:t>
    </w:r>
    <w:r w:rsidR="00CF0F0C">
      <w:t xml:space="preserve"> </w:t>
    </w:r>
    <w:r w:rsidR="00E81A92">
      <w:t>|</w:t>
    </w:r>
    <w:r w:rsidR="00CF0F0C">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125933BD" w:rsidR="00300C95" w:rsidRPr="00E81A92" w:rsidRDefault="00161CFC" w:rsidP="00BA123B">
    <w:pPr>
      <w:pStyle w:val="Footer"/>
      <w:tabs>
        <w:tab w:val="clear" w:pos="4320"/>
        <w:tab w:val="clear" w:pos="8640"/>
        <w:tab w:val="center" w:pos="7938"/>
      </w:tabs>
      <w:jc w:val="right"/>
    </w:pPr>
    <w:r w:rsidRPr="00AC3B66">
      <w:rPr>
        <w:noProof/>
        <w:position w:val="-10"/>
      </w:rPr>
      <w:drawing>
        <wp:inline distT="0" distB="0" distL="0" distR="0" wp14:anchorId="789C1E11" wp14:editId="183A6FE9">
          <wp:extent cx="21780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322FFF">
      <w:t xml:space="preserve">Version </w:t>
    </w:r>
    <w:r w:rsidR="000024C3">
      <w:t>4</w:t>
    </w:r>
    <w:r w:rsidR="00322FFF">
      <w:t xml:space="preserve"> (</w:t>
    </w:r>
    <w:r w:rsidR="00E81C05">
      <w:t>14</w:t>
    </w:r>
    <w:r w:rsidR="0065460D">
      <w:t xml:space="preserve"> March</w:t>
    </w:r>
    <w:r w:rsidR="00011648">
      <w:t xml:space="preserve"> 2025</w:t>
    </w:r>
    <w:r w:rsidR="00322FFF">
      <w:t>)</w:t>
    </w:r>
    <w:r w:rsidR="00E81A92">
      <w:t xml:space="preserve"> |</w:t>
    </w:r>
    <w:r w:rsidR="00CF0F0C">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C5FC" w14:textId="77777777" w:rsidR="0076589C" w:rsidRDefault="0076589C" w:rsidP="00886BC4">
      <w:r>
        <w:separator/>
      </w:r>
    </w:p>
  </w:footnote>
  <w:footnote w:type="continuationSeparator" w:id="0">
    <w:p w14:paraId="05C3150C" w14:textId="77777777" w:rsidR="0076589C" w:rsidRDefault="0076589C" w:rsidP="00886BC4">
      <w:r>
        <w:continuationSeparator/>
      </w:r>
    </w:p>
    <w:p w14:paraId="280B3165" w14:textId="77777777" w:rsidR="0076589C" w:rsidRDefault="0076589C"/>
  </w:footnote>
  <w:footnote w:type="continuationNotice" w:id="1">
    <w:p w14:paraId="5E42BCBB" w14:textId="77777777" w:rsidR="0076589C" w:rsidRDefault="0076589C"/>
  </w:footnote>
  <w:footnote w:id="2">
    <w:p w14:paraId="7F4B8E5B" w14:textId="626D5594" w:rsidR="009F090D" w:rsidRPr="00357BB6" w:rsidRDefault="00D11EC8" w:rsidP="00D11EC8">
      <w:pPr>
        <w:pStyle w:val="FootnoteText"/>
      </w:pPr>
      <w:r w:rsidRPr="00D11EC8">
        <w:rPr>
          <w:rStyle w:val="FootnoteReference"/>
          <w:vertAlign w:val="baseline"/>
        </w:rPr>
        <w:footnoteRef/>
      </w:r>
      <w:r w:rsidR="009F090D" w:rsidRPr="00357BB6">
        <w:t xml:space="preserve"> </w:t>
      </w:r>
      <w:r w:rsidR="009F090D" w:rsidRPr="00357BB6">
        <w:tab/>
        <w:t xml:space="preserve">Compliance monitoring and enforcement activities relating to residential land are generally conducted by the </w:t>
      </w:r>
      <w:r w:rsidR="009F090D" w:rsidRPr="001E6813">
        <w:t>ATO</w:t>
      </w:r>
      <w:r w:rsidR="009F090D" w:rsidRPr="00357BB6">
        <w:t>.</w:t>
      </w:r>
    </w:p>
  </w:footnote>
  <w:footnote w:id="3">
    <w:p w14:paraId="10A1458D" w14:textId="7172708B" w:rsidR="009F090D" w:rsidRDefault="00D11EC8" w:rsidP="00D11EC8">
      <w:pPr>
        <w:pStyle w:val="FootnoteText"/>
      </w:pPr>
      <w:r w:rsidRPr="00D11EC8">
        <w:rPr>
          <w:rStyle w:val="FootnoteReference"/>
          <w:vertAlign w:val="baseline"/>
        </w:rPr>
        <w:footnoteRef/>
      </w:r>
      <w:r w:rsidR="009F090D" w:rsidRPr="00357BB6">
        <w:t xml:space="preserve"> </w:t>
      </w:r>
      <w:r w:rsidR="009F090D">
        <w:tab/>
      </w:r>
      <w:r w:rsidR="009F090D" w:rsidRPr="00F11F6C">
        <w:t xml:space="preserve">A third party </w:t>
      </w:r>
      <w:r w:rsidR="009F090D">
        <w:t xml:space="preserve">may </w:t>
      </w:r>
      <w:r w:rsidR="009F090D" w:rsidRPr="00F11F6C">
        <w:t>include</w:t>
      </w:r>
      <w:r w:rsidR="009F090D">
        <w:t xml:space="preserve"> persons such as: stockbrokers,</w:t>
      </w:r>
      <w:r w:rsidR="009F090D" w:rsidRPr="00F11F6C">
        <w:t xml:space="preserve"> lawyer</w:t>
      </w:r>
      <w:r w:rsidR="009F090D">
        <w:t>s,</w:t>
      </w:r>
      <w:r w:rsidR="009F090D" w:rsidRPr="00F11F6C">
        <w:t xml:space="preserve"> solicitor</w:t>
      </w:r>
      <w:r w:rsidR="009F090D">
        <w:t>s</w:t>
      </w:r>
      <w:r w:rsidR="009F090D" w:rsidRPr="00F11F6C">
        <w:t>, conveyancer</w:t>
      </w:r>
      <w:r w:rsidR="009F090D">
        <w:t>s</w:t>
      </w:r>
      <w:r w:rsidR="009F090D" w:rsidRPr="00F11F6C">
        <w:t>, real estate agent</w:t>
      </w:r>
      <w:r w:rsidR="009F090D">
        <w:t>s,</w:t>
      </w:r>
      <w:r w:rsidR="009F090D" w:rsidRPr="00F11F6C">
        <w:t xml:space="preserve"> and</w:t>
      </w:r>
      <w:r w:rsidR="009F090D">
        <w:t>/or any other advisors.</w:t>
      </w:r>
    </w:p>
  </w:footnote>
  <w:footnote w:id="4">
    <w:p w14:paraId="15F5FBE1" w14:textId="1A2665F3" w:rsidR="009F090D" w:rsidRDefault="00D11EC8" w:rsidP="00D11EC8">
      <w:pPr>
        <w:pStyle w:val="FootnoteText"/>
      </w:pPr>
      <w:r w:rsidRPr="00D11EC8">
        <w:rPr>
          <w:rStyle w:val="FootnoteReference"/>
          <w:vertAlign w:val="baseline"/>
        </w:rPr>
        <w:footnoteRef/>
      </w:r>
      <w:r w:rsidR="009F090D" w:rsidRPr="00357BB6">
        <w:t xml:space="preserve"> </w:t>
      </w:r>
      <w:r w:rsidR="009F090D">
        <w:tab/>
        <w:t xml:space="preserve">Section 4 of the Act defines a scheme as either: an agreement, understanding, promise, or undertaking, whether express or implied, and </w:t>
      </w:r>
      <w:proofErr w:type="gramStart"/>
      <w:r w:rsidR="009F090D">
        <w:t>whether or not</w:t>
      </w:r>
      <w:proofErr w:type="gramEnd"/>
      <w:r w:rsidR="009F090D">
        <w:t xml:space="preserve"> enforceable or intended to be enforceable by legal proceedings; or any scheme, plan, proposal, action, course of action, or course of conduct, whether unilateral or otherwise.</w:t>
      </w:r>
    </w:p>
  </w:footnote>
  <w:footnote w:id="5">
    <w:p w14:paraId="18CCAF6C" w14:textId="55325716" w:rsidR="009F090D" w:rsidRDefault="00D11EC8" w:rsidP="00D11EC8">
      <w:pPr>
        <w:pStyle w:val="FootnoteText"/>
      </w:pPr>
      <w:r w:rsidRPr="00D11EC8">
        <w:rPr>
          <w:rStyle w:val="FootnoteReference"/>
          <w:vertAlign w:val="baseline"/>
        </w:rPr>
        <w:footnoteRef/>
      </w:r>
      <w:r w:rsidR="009F090D">
        <w:t xml:space="preserve"> </w:t>
      </w:r>
      <w:r w:rsidR="009F090D">
        <w:tab/>
        <w:t>The three tiers of infringement notices are defined in section 101 of the Act.</w:t>
      </w:r>
    </w:p>
  </w:footnote>
  <w:footnote w:id="6">
    <w:p w14:paraId="7F727D0D" w14:textId="58A1EFDF" w:rsidR="009F090D" w:rsidRDefault="00D11EC8" w:rsidP="00D11EC8">
      <w:pPr>
        <w:pStyle w:val="FootnoteText"/>
      </w:pPr>
      <w:r w:rsidRPr="00D11EC8">
        <w:rPr>
          <w:rStyle w:val="FootnoteReference"/>
          <w:vertAlign w:val="baseline"/>
        </w:rPr>
        <w:footnoteRef/>
      </w:r>
      <w:r w:rsidR="009F090D" w:rsidRPr="00357BB6">
        <w:t xml:space="preserve"> </w:t>
      </w:r>
      <w:r w:rsidR="009F090D">
        <w:tab/>
        <w:t>Tier 3 infringement notices can only be issued for breaches occurring on or after 1 January 2021.</w:t>
      </w:r>
    </w:p>
  </w:footnote>
  <w:footnote w:id="7">
    <w:p w14:paraId="66344C1D" w14:textId="1CF3BECE" w:rsidR="009F090D" w:rsidRDefault="00D11EC8" w:rsidP="00D11EC8">
      <w:pPr>
        <w:pStyle w:val="FootnoteText"/>
      </w:pPr>
      <w:r w:rsidRPr="00D11EC8">
        <w:rPr>
          <w:rStyle w:val="FootnoteReference"/>
          <w:vertAlign w:val="baseline"/>
        </w:rPr>
        <w:footnoteRef/>
      </w:r>
      <w:r w:rsidR="009F090D">
        <w:t xml:space="preserve"> </w:t>
      </w:r>
      <w:r w:rsidR="009F090D">
        <w:tab/>
        <w:t>An infringement notice may only be given within 12 months of the alleged breach occurring.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5BE456FE" w:rsidR="006D3EE7" w:rsidRPr="007F53C0" w:rsidRDefault="00FC2E34" w:rsidP="007F53C0">
    <w:pPr>
      <w:pStyle w:val="Header"/>
    </w:pPr>
    <w:r>
      <w:rPr>
        <w:noProof/>
      </w:rPr>
      <w:drawing>
        <wp:anchor distT="0" distB="0" distL="114300" distR="114300" simplePos="0" relativeHeight="251658241"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dec="http://schemas.microsoft.com/office/drawing/2017/decorativ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A137E"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8240"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4" w15:restartNumberingAfterBreak="0">
    <w:nsid w:val="27C276E0"/>
    <w:multiLevelType w:val="hybridMultilevel"/>
    <w:tmpl w:val="DF7E8436"/>
    <w:lvl w:ilvl="0" w:tplc="0C09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46E4FB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AEDF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0637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AD7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E6E5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36E4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588B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7A75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0E926D3"/>
    <w:multiLevelType w:val="hybridMultilevel"/>
    <w:tmpl w:val="2B3E337E"/>
    <w:lvl w:ilvl="0" w:tplc="0C09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A99AF5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D4CC9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C251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0826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1EC3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7405B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2813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B815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5" w15:restartNumberingAfterBreak="0">
    <w:nsid w:val="7D6B5224"/>
    <w:multiLevelType w:val="multilevel"/>
    <w:tmpl w:val="58D0B304"/>
    <w:lvl w:ilvl="0">
      <w:start w:val="1"/>
      <w:numFmt w:val="bullet"/>
      <w:pStyle w:val="Bullet"/>
      <w:lvlText w:val="•"/>
      <w:lvlJc w:val="left"/>
      <w:pPr>
        <w:tabs>
          <w:tab w:val="num" w:pos="860"/>
        </w:tabs>
        <w:ind w:left="860" w:hanging="520"/>
      </w:pPr>
      <w:rPr>
        <w:rFonts w:ascii="Times New Roman" w:hAnsi="Times New Roman" w:cs="Times New Roman"/>
        <w:color w:val="auto"/>
      </w:rPr>
    </w:lvl>
    <w:lvl w:ilvl="1">
      <w:start w:val="1"/>
      <w:numFmt w:val="bullet"/>
      <w:lvlText w:val="–"/>
      <w:lvlJc w:val="left"/>
      <w:pPr>
        <w:tabs>
          <w:tab w:val="num" w:pos="1380"/>
        </w:tabs>
        <w:ind w:left="1380" w:hanging="520"/>
      </w:pPr>
      <w:rPr>
        <w:rFonts w:ascii="Times New Roman" w:hAnsi="Times New Roman" w:cs="Times New Roman"/>
      </w:rPr>
    </w:lvl>
    <w:lvl w:ilvl="2">
      <w:start w:val="1"/>
      <w:numFmt w:val="bullet"/>
      <w:lvlText w:val=":"/>
      <w:lvlJc w:val="left"/>
      <w:pPr>
        <w:tabs>
          <w:tab w:val="num" w:pos="1900"/>
        </w:tabs>
        <w:ind w:left="1900" w:hanging="520"/>
      </w:pPr>
      <w:rPr>
        <w:rFonts w:ascii="Times New Roman" w:hAnsi="Times New Roman" w:cs="Times New Roman"/>
      </w:rPr>
    </w:lvl>
    <w:lvl w:ilvl="3">
      <w:start w:val="1"/>
      <w:numFmt w:val="decimal"/>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num w:numId="1" w16cid:durableId="740254638">
    <w:abstractNumId w:val="1"/>
  </w:num>
  <w:num w:numId="2" w16cid:durableId="277031847">
    <w:abstractNumId w:val="13"/>
  </w:num>
  <w:num w:numId="3" w16cid:durableId="3069013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801242">
    <w:abstractNumId w:val="0"/>
  </w:num>
  <w:num w:numId="5" w16cid:durableId="370417843">
    <w:abstractNumId w:val="5"/>
  </w:num>
  <w:num w:numId="6" w16cid:durableId="1661084142">
    <w:abstractNumId w:val="7"/>
  </w:num>
  <w:num w:numId="7" w16cid:durableId="1364164556">
    <w:abstractNumId w:val="12"/>
  </w:num>
  <w:num w:numId="8" w16cid:durableId="2104648328">
    <w:abstractNumId w:val="14"/>
  </w:num>
  <w:num w:numId="9" w16cid:durableId="1494444661">
    <w:abstractNumId w:val="9"/>
  </w:num>
  <w:num w:numId="10" w16cid:durableId="1583296559">
    <w:abstractNumId w:val="3"/>
  </w:num>
  <w:num w:numId="11" w16cid:durableId="516775405">
    <w:abstractNumId w:val="2"/>
  </w:num>
  <w:num w:numId="12" w16cid:durableId="466969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90481">
    <w:abstractNumId w:val="10"/>
  </w:num>
  <w:num w:numId="14" w16cid:durableId="634600939">
    <w:abstractNumId w:val="11"/>
  </w:num>
  <w:num w:numId="15" w16cid:durableId="430587930">
    <w:abstractNumId w:val="8"/>
  </w:num>
  <w:num w:numId="16" w16cid:durableId="1956323275">
    <w:abstractNumId w:val="4"/>
  </w:num>
  <w:num w:numId="17" w16cid:durableId="2020157117">
    <w:abstractNumId w:val="6"/>
  </w:num>
  <w:num w:numId="18" w16cid:durableId="125111236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24C3"/>
    <w:rsid w:val="000064AC"/>
    <w:rsid w:val="00011648"/>
    <w:rsid w:val="000161F9"/>
    <w:rsid w:val="00016670"/>
    <w:rsid w:val="00016B6C"/>
    <w:rsid w:val="0001766A"/>
    <w:rsid w:val="0002090A"/>
    <w:rsid w:val="0002151A"/>
    <w:rsid w:val="0002189A"/>
    <w:rsid w:val="00027BBC"/>
    <w:rsid w:val="000305C4"/>
    <w:rsid w:val="00033942"/>
    <w:rsid w:val="00035CC9"/>
    <w:rsid w:val="000421F9"/>
    <w:rsid w:val="0004334F"/>
    <w:rsid w:val="00045C24"/>
    <w:rsid w:val="00060493"/>
    <w:rsid w:val="00060533"/>
    <w:rsid w:val="0006078D"/>
    <w:rsid w:val="00060C76"/>
    <w:rsid w:val="00066FAB"/>
    <w:rsid w:val="00067E65"/>
    <w:rsid w:val="000753CE"/>
    <w:rsid w:val="00075A6F"/>
    <w:rsid w:val="00077798"/>
    <w:rsid w:val="0008099F"/>
    <w:rsid w:val="0008367C"/>
    <w:rsid w:val="000849B1"/>
    <w:rsid w:val="00086815"/>
    <w:rsid w:val="000919DA"/>
    <w:rsid w:val="000A44A9"/>
    <w:rsid w:val="000A4D2D"/>
    <w:rsid w:val="000A5F99"/>
    <w:rsid w:val="000B1EC3"/>
    <w:rsid w:val="000B3C90"/>
    <w:rsid w:val="000C02C9"/>
    <w:rsid w:val="000C0D49"/>
    <w:rsid w:val="000C1C68"/>
    <w:rsid w:val="000C3ACA"/>
    <w:rsid w:val="000C447F"/>
    <w:rsid w:val="000C57AD"/>
    <w:rsid w:val="000C6765"/>
    <w:rsid w:val="000C7594"/>
    <w:rsid w:val="000D15DC"/>
    <w:rsid w:val="000D2E95"/>
    <w:rsid w:val="000D33F2"/>
    <w:rsid w:val="000D7D2F"/>
    <w:rsid w:val="000E0F8A"/>
    <w:rsid w:val="000E324C"/>
    <w:rsid w:val="000F14EF"/>
    <w:rsid w:val="000F2493"/>
    <w:rsid w:val="000F2562"/>
    <w:rsid w:val="000F33C9"/>
    <w:rsid w:val="000F4FDF"/>
    <w:rsid w:val="00101B0A"/>
    <w:rsid w:val="00102238"/>
    <w:rsid w:val="00102271"/>
    <w:rsid w:val="001032A8"/>
    <w:rsid w:val="00105EBE"/>
    <w:rsid w:val="0011229E"/>
    <w:rsid w:val="001145FD"/>
    <w:rsid w:val="00115B2E"/>
    <w:rsid w:val="0011628E"/>
    <w:rsid w:val="00125AA0"/>
    <w:rsid w:val="00131431"/>
    <w:rsid w:val="001363E7"/>
    <w:rsid w:val="00136AA9"/>
    <w:rsid w:val="001376CC"/>
    <w:rsid w:val="00140697"/>
    <w:rsid w:val="0014178A"/>
    <w:rsid w:val="00144B84"/>
    <w:rsid w:val="00146082"/>
    <w:rsid w:val="00155316"/>
    <w:rsid w:val="00161CFC"/>
    <w:rsid w:val="00162DFD"/>
    <w:rsid w:val="001649E7"/>
    <w:rsid w:val="00165884"/>
    <w:rsid w:val="00165F32"/>
    <w:rsid w:val="00166A45"/>
    <w:rsid w:val="0017072F"/>
    <w:rsid w:val="00172552"/>
    <w:rsid w:val="00172B38"/>
    <w:rsid w:val="00172E7F"/>
    <w:rsid w:val="00174954"/>
    <w:rsid w:val="00176EC8"/>
    <w:rsid w:val="001807D3"/>
    <w:rsid w:val="00182E9E"/>
    <w:rsid w:val="00183F40"/>
    <w:rsid w:val="00186B0D"/>
    <w:rsid w:val="00190D7B"/>
    <w:rsid w:val="001921FF"/>
    <w:rsid w:val="00192367"/>
    <w:rsid w:val="001929D8"/>
    <w:rsid w:val="00192ED7"/>
    <w:rsid w:val="00197414"/>
    <w:rsid w:val="001A059A"/>
    <w:rsid w:val="001A153F"/>
    <w:rsid w:val="001A1D27"/>
    <w:rsid w:val="001A5155"/>
    <w:rsid w:val="001A53DE"/>
    <w:rsid w:val="001A5DCC"/>
    <w:rsid w:val="001A6D3D"/>
    <w:rsid w:val="001B0445"/>
    <w:rsid w:val="001B0E22"/>
    <w:rsid w:val="001B1657"/>
    <w:rsid w:val="001B3A29"/>
    <w:rsid w:val="001B3C4C"/>
    <w:rsid w:val="001B540E"/>
    <w:rsid w:val="001C5117"/>
    <w:rsid w:val="001C6FA3"/>
    <w:rsid w:val="001C78AE"/>
    <w:rsid w:val="001D1C39"/>
    <w:rsid w:val="001D4119"/>
    <w:rsid w:val="001D45A4"/>
    <w:rsid w:val="001D48AB"/>
    <w:rsid w:val="001E2F02"/>
    <w:rsid w:val="001E5623"/>
    <w:rsid w:val="001E588A"/>
    <w:rsid w:val="001E6DC2"/>
    <w:rsid w:val="001E7840"/>
    <w:rsid w:val="001E7CF5"/>
    <w:rsid w:val="001F05C2"/>
    <w:rsid w:val="001F4CBB"/>
    <w:rsid w:val="001F50DA"/>
    <w:rsid w:val="001F7B9B"/>
    <w:rsid w:val="00203245"/>
    <w:rsid w:val="00205F44"/>
    <w:rsid w:val="0020748E"/>
    <w:rsid w:val="002075E8"/>
    <w:rsid w:val="002105F8"/>
    <w:rsid w:val="00212EC5"/>
    <w:rsid w:val="00213081"/>
    <w:rsid w:val="0021476C"/>
    <w:rsid w:val="00215EE7"/>
    <w:rsid w:val="00223D87"/>
    <w:rsid w:val="002268AB"/>
    <w:rsid w:val="00226F00"/>
    <w:rsid w:val="0022749C"/>
    <w:rsid w:val="00227C77"/>
    <w:rsid w:val="00233887"/>
    <w:rsid w:val="00233A88"/>
    <w:rsid w:val="00240E3C"/>
    <w:rsid w:val="00241B9A"/>
    <w:rsid w:val="0024226F"/>
    <w:rsid w:val="00243039"/>
    <w:rsid w:val="00245342"/>
    <w:rsid w:val="00245E1D"/>
    <w:rsid w:val="002462BD"/>
    <w:rsid w:val="00252337"/>
    <w:rsid w:val="00252481"/>
    <w:rsid w:val="0025606C"/>
    <w:rsid w:val="00260712"/>
    <w:rsid w:val="00260FA1"/>
    <w:rsid w:val="00261186"/>
    <w:rsid w:val="002627BD"/>
    <w:rsid w:val="00263339"/>
    <w:rsid w:val="002643E2"/>
    <w:rsid w:val="00264A16"/>
    <w:rsid w:val="00270365"/>
    <w:rsid w:val="00273B23"/>
    <w:rsid w:val="002801BF"/>
    <w:rsid w:val="002809F6"/>
    <w:rsid w:val="00283303"/>
    <w:rsid w:val="00287D76"/>
    <w:rsid w:val="00287F32"/>
    <w:rsid w:val="0029134D"/>
    <w:rsid w:val="00292C81"/>
    <w:rsid w:val="002953A1"/>
    <w:rsid w:val="002978C8"/>
    <w:rsid w:val="00297F5B"/>
    <w:rsid w:val="002A0B32"/>
    <w:rsid w:val="002A14BF"/>
    <w:rsid w:val="002A4B83"/>
    <w:rsid w:val="002A6430"/>
    <w:rsid w:val="002A79C5"/>
    <w:rsid w:val="002B057C"/>
    <w:rsid w:val="002B2421"/>
    <w:rsid w:val="002B5767"/>
    <w:rsid w:val="002C0F2A"/>
    <w:rsid w:val="002C26D9"/>
    <w:rsid w:val="002C6676"/>
    <w:rsid w:val="002D49D1"/>
    <w:rsid w:val="002F417B"/>
    <w:rsid w:val="002F484C"/>
    <w:rsid w:val="002F6ADC"/>
    <w:rsid w:val="00300C95"/>
    <w:rsid w:val="00303560"/>
    <w:rsid w:val="003054A8"/>
    <w:rsid w:val="00306770"/>
    <w:rsid w:val="00307DA3"/>
    <w:rsid w:val="00312F88"/>
    <w:rsid w:val="0032201D"/>
    <w:rsid w:val="00322FFF"/>
    <w:rsid w:val="00323686"/>
    <w:rsid w:val="00327A58"/>
    <w:rsid w:val="00327D31"/>
    <w:rsid w:val="003305CA"/>
    <w:rsid w:val="0034064A"/>
    <w:rsid w:val="00342C57"/>
    <w:rsid w:val="003433ED"/>
    <w:rsid w:val="0034564D"/>
    <w:rsid w:val="00345815"/>
    <w:rsid w:val="00345FBD"/>
    <w:rsid w:val="003506B3"/>
    <w:rsid w:val="00353390"/>
    <w:rsid w:val="003569E4"/>
    <w:rsid w:val="00357842"/>
    <w:rsid w:val="00360AEB"/>
    <w:rsid w:val="003715C7"/>
    <w:rsid w:val="00372AC1"/>
    <w:rsid w:val="003732D7"/>
    <w:rsid w:val="00376A3D"/>
    <w:rsid w:val="003802F4"/>
    <w:rsid w:val="00382902"/>
    <w:rsid w:val="003831AB"/>
    <w:rsid w:val="0038393C"/>
    <w:rsid w:val="00384252"/>
    <w:rsid w:val="00385466"/>
    <w:rsid w:val="0038583A"/>
    <w:rsid w:val="00390C06"/>
    <w:rsid w:val="00391528"/>
    <w:rsid w:val="00392CC7"/>
    <w:rsid w:val="0039637E"/>
    <w:rsid w:val="003A3389"/>
    <w:rsid w:val="003A483D"/>
    <w:rsid w:val="003A63D1"/>
    <w:rsid w:val="003A6F3E"/>
    <w:rsid w:val="003B0B8D"/>
    <w:rsid w:val="003C047D"/>
    <w:rsid w:val="003C17E4"/>
    <w:rsid w:val="003C45FC"/>
    <w:rsid w:val="003C4F86"/>
    <w:rsid w:val="003C5C7D"/>
    <w:rsid w:val="003C7114"/>
    <w:rsid w:val="003C789B"/>
    <w:rsid w:val="003D16D1"/>
    <w:rsid w:val="003D3110"/>
    <w:rsid w:val="003D4C67"/>
    <w:rsid w:val="003D5AD8"/>
    <w:rsid w:val="003E0B8C"/>
    <w:rsid w:val="003E15F5"/>
    <w:rsid w:val="003E26C5"/>
    <w:rsid w:val="003E480A"/>
    <w:rsid w:val="003E71D0"/>
    <w:rsid w:val="003F2E2F"/>
    <w:rsid w:val="003F3474"/>
    <w:rsid w:val="003F424B"/>
    <w:rsid w:val="003F53AE"/>
    <w:rsid w:val="003F77B4"/>
    <w:rsid w:val="00415635"/>
    <w:rsid w:val="004178DC"/>
    <w:rsid w:val="00420067"/>
    <w:rsid w:val="00425E05"/>
    <w:rsid w:val="00437644"/>
    <w:rsid w:val="00442A75"/>
    <w:rsid w:val="00442C7E"/>
    <w:rsid w:val="004478E9"/>
    <w:rsid w:val="00447AF0"/>
    <w:rsid w:val="00450CCE"/>
    <w:rsid w:val="004542B7"/>
    <w:rsid w:val="004546DC"/>
    <w:rsid w:val="00455F84"/>
    <w:rsid w:val="00461155"/>
    <w:rsid w:val="00463D4E"/>
    <w:rsid w:val="00464430"/>
    <w:rsid w:val="00470BA0"/>
    <w:rsid w:val="00474825"/>
    <w:rsid w:val="00474880"/>
    <w:rsid w:val="0047507F"/>
    <w:rsid w:val="00477439"/>
    <w:rsid w:val="00477814"/>
    <w:rsid w:val="00482379"/>
    <w:rsid w:val="004841C3"/>
    <w:rsid w:val="00485221"/>
    <w:rsid w:val="00485A3D"/>
    <w:rsid w:val="00486B7C"/>
    <w:rsid w:val="00490C62"/>
    <w:rsid w:val="00491F0D"/>
    <w:rsid w:val="00492356"/>
    <w:rsid w:val="00494F38"/>
    <w:rsid w:val="00496135"/>
    <w:rsid w:val="0049673E"/>
    <w:rsid w:val="00496C34"/>
    <w:rsid w:val="00496EAA"/>
    <w:rsid w:val="004A2AFD"/>
    <w:rsid w:val="004A37EA"/>
    <w:rsid w:val="004A4424"/>
    <w:rsid w:val="004B08DC"/>
    <w:rsid w:val="004B1102"/>
    <w:rsid w:val="004B1F82"/>
    <w:rsid w:val="004B539E"/>
    <w:rsid w:val="004B56B0"/>
    <w:rsid w:val="004C0E3E"/>
    <w:rsid w:val="004C2520"/>
    <w:rsid w:val="004C2DBD"/>
    <w:rsid w:val="004C5917"/>
    <w:rsid w:val="004C5E48"/>
    <w:rsid w:val="004C79C7"/>
    <w:rsid w:val="004D0737"/>
    <w:rsid w:val="004D0778"/>
    <w:rsid w:val="004D11DB"/>
    <w:rsid w:val="004D1755"/>
    <w:rsid w:val="004D53D8"/>
    <w:rsid w:val="004D6F66"/>
    <w:rsid w:val="004D75F6"/>
    <w:rsid w:val="004E141A"/>
    <w:rsid w:val="004E196A"/>
    <w:rsid w:val="004E26E6"/>
    <w:rsid w:val="004E424B"/>
    <w:rsid w:val="004E5515"/>
    <w:rsid w:val="004E654E"/>
    <w:rsid w:val="004E6AF4"/>
    <w:rsid w:val="004E71FE"/>
    <w:rsid w:val="004F1D10"/>
    <w:rsid w:val="004F24D0"/>
    <w:rsid w:val="004F28AA"/>
    <w:rsid w:val="004F7F3F"/>
    <w:rsid w:val="00502E10"/>
    <w:rsid w:val="00505009"/>
    <w:rsid w:val="0050571A"/>
    <w:rsid w:val="00506BF4"/>
    <w:rsid w:val="00507097"/>
    <w:rsid w:val="00513760"/>
    <w:rsid w:val="00514277"/>
    <w:rsid w:val="0051600D"/>
    <w:rsid w:val="00516FB2"/>
    <w:rsid w:val="005204F5"/>
    <w:rsid w:val="00522F25"/>
    <w:rsid w:val="00524DCE"/>
    <w:rsid w:val="00525050"/>
    <w:rsid w:val="005304F5"/>
    <w:rsid w:val="0053110F"/>
    <w:rsid w:val="005315E2"/>
    <w:rsid w:val="00533FEF"/>
    <w:rsid w:val="00535C81"/>
    <w:rsid w:val="00535C9C"/>
    <w:rsid w:val="00536101"/>
    <w:rsid w:val="00540B8A"/>
    <w:rsid w:val="00544292"/>
    <w:rsid w:val="005444F1"/>
    <w:rsid w:val="00544B6D"/>
    <w:rsid w:val="00545266"/>
    <w:rsid w:val="005463C3"/>
    <w:rsid w:val="00546D8E"/>
    <w:rsid w:val="00546FDD"/>
    <w:rsid w:val="00551340"/>
    <w:rsid w:val="00556514"/>
    <w:rsid w:val="00557CDC"/>
    <w:rsid w:val="005606FD"/>
    <w:rsid w:val="00560DAA"/>
    <w:rsid w:val="00565A52"/>
    <w:rsid w:val="00565C80"/>
    <w:rsid w:val="00566AD8"/>
    <w:rsid w:val="005673FA"/>
    <w:rsid w:val="00570B86"/>
    <w:rsid w:val="00571404"/>
    <w:rsid w:val="00571830"/>
    <w:rsid w:val="005732EB"/>
    <w:rsid w:val="00580064"/>
    <w:rsid w:val="005803BF"/>
    <w:rsid w:val="00581472"/>
    <w:rsid w:val="00582FAD"/>
    <w:rsid w:val="00585F7E"/>
    <w:rsid w:val="00590ABC"/>
    <w:rsid w:val="00592613"/>
    <w:rsid w:val="00592957"/>
    <w:rsid w:val="0059402F"/>
    <w:rsid w:val="00594ABF"/>
    <w:rsid w:val="00594B14"/>
    <w:rsid w:val="00596261"/>
    <w:rsid w:val="005A11E6"/>
    <w:rsid w:val="005A2484"/>
    <w:rsid w:val="005A44E6"/>
    <w:rsid w:val="005A6A61"/>
    <w:rsid w:val="005B0968"/>
    <w:rsid w:val="005B207E"/>
    <w:rsid w:val="005B21CB"/>
    <w:rsid w:val="005B2484"/>
    <w:rsid w:val="005B3871"/>
    <w:rsid w:val="005B38AB"/>
    <w:rsid w:val="005B659D"/>
    <w:rsid w:val="005B6B98"/>
    <w:rsid w:val="005C035A"/>
    <w:rsid w:val="005C1326"/>
    <w:rsid w:val="005C14DD"/>
    <w:rsid w:val="005C3527"/>
    <w:rsid w:val="005C4B02"/>
    <w:rsid w:val="005C512C"/>
    <w:rsid w:val="005D09A5"/>
    <w:rsid w:val="005D120E"/>
    <w:rsid w:val="005D45F0"/>
    <w:rsid w:val="005E0FCF"/>
    <w:rsid w:val="005E2CC1"/>
    <w:rsid w:val="005E62D6"/>
    <w:rsid w:val="005F0FBF"/>
    <w:rsid w:val="005F26EA"/>
    <w:rsid w:val="005F44E7"/>
    <w:rsid w:val="005F7B97"/>
    <w:rsid w:val="006014A0"/>
    <w:rsid w:val="0060289B"/>
    <w:rsid w:val="00604460"/>
    <w:rsid w:val="00607350"/>
    <w:rsid w:val="00614971"/>
    <w:rsid w:val="00616FE9"/>
    <w:rsid w:val="00617C95"/>
    <w:rsid w:val="00624E74"/>
    <w:rsid w:val="00626D06"/>
    <w:rsid w:val="00627010"/>
    <w:rsid w:val="00627218"/>
    <w:rsid w:val="0063266C"/>
    <w:rsid w:val="00633885"/>
    <w:rsid w:val="006355D1"/>
    <w:rsid w:val="00635DD4"/>
    <w:rsid w:val="00637692"/>
    <w:rsid w:val="00643AE5"/>
    <w:rsid w:val="00645A49"/>
    <w:rsid w:val="0064603E"/>
    <w:rsid w:val="00646EDB"/>
    <w:rsid w:val="0064704A"/>
    <w:rsid w:val="00647FD6"/>
    <w:rsid w:val="0065460D"/>
    <w:rsid w:val="00654932"/>
    <w:rsid w:val="00654F18"/>
    <w:rsid w:val="00663303"/>
    <w:rsid w:val="006637F6"/>
    <w:rsid w:val="00667C27"/>
    <w:rsid w:val="00680C53"/>
    <w:rsid w:val="0068189E"/>
    <w:rsid w:val="00682F0C"/>
    <w:rsid w:val="006916AD"/>
    <w:rsid w:val="0069232B"/>
    <w:rsid w:val="006946E1"/>
    <w:rsid w:val="00694B4F"/>
    <w:rsid w:val="0069713D"/>
    <w:rsid w:val="006A118D"/>
    <w:rsid w:val="006A3972"/>
    <w:rsid w:val="006A712D"/>
    <w:rsid w:val="006A775B"/>
    <w:rsid w:val="006B1644"/>
    <w:rsid w:val="006C06A7"/>
    <w:rsid w:val="006C6093"/>
    <w:rsid w:val="006C7ABB"/>
    <w:rsid w:val="006D24D7"/>
    <w:rsid w:val="006D27A6"/>
    <w:rsid w:val="006D327E"/>
    <w:rsid w:val="006D3EE7"/>
    <w:rsid w:val="006D6658"/>
    <w:rsid w:val="006D6960"/>
    <w:rsid w:val="006E101D"/>
    <w:rsid w:val="006E1C0B"/>
    <w:rsid w:val="006E3533"/>
    <w:rsid w:val="006E4FF4"/>
    <w:rsid w:val="006E6F8C"/>
    <w:rsid w:val="006E76BE"/>
    <w:rsid w:val="006F0918"/>
    <w:rsid w:val="006F1123"/>
    <w:rsid w:val="006F35E7"/>
    <w:rsid w:val="006F4180"/>
    <w:rsid w:val="006F56A2"/>
    <w:rsid w:val="006F6E04"/>
    <w:rsid w:val="00700390"/>
    <w:rsid w:val="00703BB4"/>
    <w:rsid w:val="00704099"/>
    <w:rsid w:val="00705AD6"/>
    <w:rsid w:val="00707060"/>
    <w:rsid w:val="00710CAC"/>
    <w:rsid w:val="007118BF"/>
    <w:rsid w:val="00712BD7"/>
    <w:rsid w:val="007135D6"/>
    <w:rsid w:val="00717216"/>
    <w:rsid w:val="00717BF6"/>
    <w:rsid w:val="00722F56"/>
    <w:rsid w:val="0072319B"/>
    <w:rsid w:val="00723F44"/>
    <w:rsid w:val="007262EC"/>
    <w:rsid w:val="007343B8"/>
    <w:rsid w:val="00734448"/>
    <w:rsid w:val="00734485"/>
    <w:rsid w:val="00735A2E"/>
    <w:rsid w:val="00736715"/>
    <w:rsid w:val="00742AFD"/>
    <w:rsid w:val="00747C0C"/>
    <w:rsid w:val="00750C65"/>
    <w:rsid w:val="0075240A"/>
    <w:rsid w:val="00756871"/>
    <w:rsid w:val="007600FA"/>
    <w:rsid w:val="0076093D"/>
    <w:rsid w:val="00761DA0"/>
    <w:rsid w:val="007622D7"/>
    <w:rsid w:val="0076589C"/>
    <w:rsid w:val="0076699E"/>
    <w:rsid w:val="00772BE7"/>
    <w:rsid w:val="00780B5C"/>
    <w:rsid w:val="00780CC6"/>
    <w:rsid w:val="00781231"/>
    <w:rsid w:val="007825F2"/>
    <w:rsid w:val="00783522"/>
    <w:rsid w:val="00784A3C"/>
    <w:rsid w:val="00790568"/>
    <w:rsid w:val="00790BF9"/>
    <w:rsid w:val="007917C3"/>
    <w:rsid w:val="00793BD7"/>
    <w:rsid w:val="0079466D"/>
    <w:rsid w:val="00797336"/>
    <w:rsid w:val="007A1239"/>
    <w:rsid w:val="007A4195"/>
    <w:rsid w:val="007A6E4D"/>
    <w:rsid w:val="007B4CCB"/>
    <w:rsid w:val="007B4CE3"/>
    <w:rsid w:val="007B6953"/>
    <w:rsid w:val="007B7784"/>
    <w:rsid w:val="007C05F9"/>
    <w:rsid w:val="007C1094"/>
    <w:rsid w:val="007C3CD0"/>
    <w:rsid w:val="007D0B77"/>
    <w:rsid w:val="007D4EB7"/>
    <w:rsid w:val="007D6F47"/>
    <w:rsid w:val="007E013D"/>
    <w:rsid w:val="007E0975"/>
    <w:rsid w:val="007E36E4"/>
    <w:rsid w:val="007E5E07"/>
    <w:rsid w:val="007E7046"/>
    <w:rsid w:val="007F53C0"/>
    <w:rsid w:val="007F61E3"/>
    <w:rsid w:val="007F738A"/>
    <w:rsid w:val="007F7D60"/>
    <w:rsid w:val="00800091"/>
    <w:rsid w:val="00801844"/>
    <w:rsid w:val="00804F5F"/>
    <w:rsid w:val="008055C4"/>
    <w:rsid w:val="00805AE3"/>
    <w:rsid w:val="0081028F"/>
    <w:rsid w:val="00812D06"/>
    <w:rsid w:val="008139FB"/>
    <w:rsid w:val="00815D65"/>
    <w:rsid w:val="00825576"/>
    <w:rsid w:val="00826FCF"/>
    <w:rsid w:val="00831D8A"/>
    <w:rsid w:val="008329F3"/>
    <w:rsid w:val="0084256C"/>
    <w:rsid w:val="00843D70"/>
    <w:rsid w:val="00844032"/>
    <w:rsid w:val="00844714"/>
    <w:rsid w:val="00844801"/>
    <w:rsid w:val="00847719"/>
    <w:rsid w:val="008518C9"/>
    <w:rsid w:val="008532EE"/>
    <w:rsid w:val="008562DC"/>
    <w:rsid w:val="008616B9"/>
    <w:rsid w:val="00870394"/>
    <w:rsid w:val="00875015"/>
    <w:rsid w:val="00875158"/>
    <w:rsid w:val="00880A9D"/>
    <w:rsid w:val="00881157"/>
    <w:rsid w:val="0088159C"/>
    <w:rsid w:val="0088211A"/>
    <w:rsid w:val="00884F56"/>
    <w:rsid w:val="008854F6"/>
    <w:rsid w:val="00885C97"/>
    <w:rsid w:val="00886667"/>
    <w:rsid w:val="00886BC4"/>
    <w:rsid w:val="00892028"/>
    <w:rsid w:val="00893AD3"/>
    <w:rsid w:val="008972E4"/>
    <w:rsid w:val="00897F94"/>
    <w:rsid w:val="008A02F3"/>
    <w:rsid w:val="008A1C1D"/>
    <w:rsid w:val="008A1D26"/>
    <w:rsid w:val="008A48CA"/>
    <w:rsid w:val="008A6325"/>
    <w:rsid w:val="008B0674"/>
    <w:rsid w:val="008B2551"/>
    <w:rsid w:val="008B292C"/>
    <w:rsid w:val="008B2938"/>
    <w:rsid w:val="008B346B"/>
    <w:rsid w:val="008B395C"/>
    <w:rsid w:val="008B5263"/>
    <w:rsid w:val="008C3369"/>
    <w:rsid w:val="008C5773"/>
    <w:rsid w:val="008D0CA6"/>
    <w:rsid w:val="008D4A7C"/>
    <w:rsid w:val="008D4CD0"/>
    <w:rsid w:val="008D5358"/>
    <w:rsid w:val="008D5790"/>
    <w:rsid w:val="008D645F"/>
    <w:rsid w:val="008D67D1"/>
    <w:rsid w:val="008E0180"/>
    <w:rsid w:val="008E04BD"/>
    <w:rsid w:val="008E0FAB"/>
    <w:rsid w:val="008E2DBC"/>
    <w:rsid w:val="008E35A5"/>
    <w:rsid w:val="008E6A70"/>
    <w:rsid w:val="008F0B15"/>
    <w:rsid w:val="008F1022"/>
    <w:rsid w:val="008F1AA6"/>
    <w:rsid w:val="008F2068"/>
    <w:rsid w:val="008F2212"/>
    <w:rsid w:val="008F3573"/>
    <w:rsid w:val="008F73C8"/>
    <w:rsid w:val="008F7E69"/>
    <w:rsid w:val="00901BC8"/>
    <w:rsid w:val="00903786"/>
    <w:rsid w:val="00903AB2"/>
    <w:rsid w:val="00903FCF"/>
    <w:rsid w:val="009044A8"/>
    <w:rsid w:val="00904C61"/>
    <w:rsid w:val="00905F29"/>
    <w:rsid w:val="0090655D"/>
    <w:rsid w:val="0090719E"/>
    <w:rsid w:val="009109AA"/>
    <w:rsid w:val="009115C0"/>
    <w:rsid w:val="00921FF2"/>
    <w:rsid w:val="00925C4D"/>
    <w:rsid w:val="00926879"/>
    <w:rsid w:val="009275DB"/>
    <w:rsid w:val="00933C8C"/>
    <w:rsid w:val="0093495F"/>
    <w:rsid w:val="009367F6"/>
    <w:rsid w:val="0093741D"/>
    <w:rsid w:val="00942CB3"/>
    <w:rsid w:val="00944174"/>
    <w:rsid w:val="00951652"/>
    <w:rsid w:val="00952F2F"/>
    <w:rsid w:val="009606D0"/>
    <w:rsid w:val="00962DED"/>
    <w:rsid w:val="00965C4B"/>
    <w:rsid w:val="00967533"/>
    <w:rsid w:val="009757BB"/>
    <w:rsid w:val="0098151F"/>
    <w:rsid w:val="00982ECF"/>
    <w:rsid w:val="00986A46"/>
    <w:rsid w:val="00987D1A"/>
    <w:rsid w:val="009900AA"/>
    <w:rsid w:val="009906A6"/>
    <w:rsid w:val="00992ADC"/>
    <w:rsid w:val="00995E70"/>
    <w:rsid w:val="009A2444"/>
    <w:rsid w:val="009A6D32"/>
    <w:rsid w:val="009A71C4"/>
    <w:rsid w:val="009A79C7"/>
    <w:rsid w:val="009B15EC"/>
    <w:rsid w:val="009B1781"/>
    <w:rsid w:val="009B2546"/>
    <w:rsid w:val="009B3A6E"/>
    <w:rsid w:val="009B464D"/>
    <w:rsid w:val="009B75BA"/>
    <w:rsid w:val="009C0B26"/>
    <w:rsid w:val="009C1F90"/>
    <w:rsid w:val="009C66A3"/>
    <w:rsid w:val="009D5276"/>
    <w:rsid w:val="009D616A"/>
    <w:rsid w:val="009E3728"/>
    <w:rsid w:val="009E6061"/>
    <w:rsid w:val="009F03BF"/>
    <w:rsid w:val="009F090D"/>
    <w:rsid w:val="009F1B4E"/>
    <w:rsid w:val="009F364C"/>
    <w:rsid w:val="00A01086"/>
    <w:rsid w:val="00A01F7F"/>
    <w:rsid w:val="00A04BBB"/>
    <w:rsid w:val="00A05E57"/>
    <w:rsid w:val="00A10EE1"/>
    <w:rsid w:val="00A1120D"/>
    <w:rsid w:val="00A13A5C"/>
    <w:rsid w:val="00A13CB3"/>
    <w:rsid w:val="00A13F0D"/>
    <w:rsid w:val="00A15DB7"/>
    <w:rsid w:val="00A16B54"/>
    <w:rsid w:val="00A17503"/>
    <w:rsid w:val="00A215B3"/>
    <w:rsid w:val="00A23695"/>
    <w:rsid w:val="00A24D20"/>
    <w:rsid w:val="00A2616F"/>
    <w:rsid w:val="00A30A45"/>
    <w:rsid w:val="00A320AA"/>
    <w:rsid w:val="00A32C4E"/>
    <w:rsid w:val="00A3452B"/>
    <w:rsid w:val="00A467BC"/>
    <w:rsid w:val="00A46A9A"/>
    <w:rsid w:val="00A47E23"/>
    <w:rsid w:val="00A50111"/>
    <w:rsid w:val="00A50347"/>
    <w:rsid w:val="00A52C22"/>
    <w:rsid w:val="00A60022"/>
    <w:rsid w:val="00A60994"/>
    <w:rsid w:val="00A63777"/>
    <w:rsid w:val="00A64785"/>
    <w:rsid w:val="00A6514E"/>
    <w:rsid w:val="00A66DED"/>
    <w:rsid w:val="00A677FA"/>
    <w:rsid w:val="00A72BA5"/>
    <w:rsid w:val="00A749D5"/>
    <w:rsid w:val="00A8449C"/>
    <w:rsid w:val="00A84C3C"/>
    <w:rsid w:val="00A854C3"/>
    <w:rsid w:val="00A8592D"/>
    <w:rsid w:val="00A87F4B"/>
    <w:rsid w:val="00A909A3"/>
    <w:rsid w:val="00A91BD2"/>
    <w:rsid w:val="00A940BE"/>
    <w:rsid w:val="00A96316"/>
    <w:rsid w:val="00A9658A"/>
    <w:rsid w:val="00A970ED"/>
    <w:rsid w:val="00A9746F"/>
    <w:rsid w:val="00AA3953"/>
    <w:rsid w:val="00AA553F"/>
    <w:rsid w:val="00AB1259"/>
    <w:rsid w:val="00AB3D33"/>
    <w:rsid w:val="00AB4D8B"/>
    <w:rsid w:val="00AB7280"/>
    <w:rsid w:val="00AB7E1F"/>
    <w:rsid w:val="00AC1B27"/>
    <w:rsid w:val="00AC234D"/>
    <w:rsid w:val="00AC4C62"/>
    <w:rsid w:val="00AC5FEC"/>
    <w:rsid w:val="00AC60D4"/>
    <w:rsid w:val="00AC6CA9"/>
    <w:rsid w:val="00AD0514"/>
    <w:rsid w:val="00AD07FD"/>
    <w:rsid w:val="00AD79A5"/>
    <w:rsid w:val="00AE233A"/>
    <w:rsid w:val="00AE39EE"/>
    <w:rsid w:val="00AE3A9A"/>
    <w:rsid w:val="00AE53E5"/>
    <w:rsid w:val="00AF152D"/>
    <w:rsid w:val="00AF34A2"/>
    <w:rsid w:val="00AF6E45"/>
    <w:rsid w:val="00B03D99"/>
    <w:rsid w:val="00B1096A"/>
    <w:rsid w:val="00B129C3"/>
    <w:rsid w:val="00B1441A"/>
    <w:rsid w:val="00B15B56"/>
    <w:rsid w:val="00B21F34"/>
    <w:rsid w:val="00B2272B"/>
    <w:rsid w:val="00B24C1C"/>
    <w:rsid w:val="00B26815"/>
    <w:rsid w:val="00B32830"/>
    <w:rsid w:val="00B3649A"/>
    <w:rsid w:val="00B40E70"/>
    <w:rsid w:val="00B426D9"/>
    <w:rsid w:val="00B42FAF"/>
    <w:rsid w:val="00B4504E"/>
    <w:rsid w:val="00B50FEA"/>
    <w:rsid w:val="00B51175"/>
    <w:rsid w:val="00B51845"/>
    <w:rsid w:val="00B5397C"/>
    <w:rsid w:val="00B54FA9"/>
    <w:rsid w:val="00B57B0B"/>
    <w:rsid w:val="00B6357D"/>
    <w:rsid w:val="00B64308"/>
    <w:rsid w:val="00B6556B"/>
    <w:rsid w:val="00B67DA1"/>
    <w:rsid w:val="00B70058"/>
    <w:rsid w:val="00B71F74"/>
    <w:rsid w:val="00B73C23"/>
    <w:rsid w:val="00B771FF"/>
    <w:rsid w:val="00B82674"/>
    <w:rsid w:val="00B82C45"/>
    <w:rsid w:val="00B949E3"/>
    <w:rsid w:val="00BA054F"/>
    <w:rsid w:val="00BA123B"/>
    <w:rsid w:val="00BA31E6"/>
    <w:rsid w:val="00BA3721"/>
    <w:rsid w:val="00BA5693"/>
    <w:rsid w:val="00BA71B0"/>
    <w:rsid w:val="00BA75EB"/>
    <w:rsid w:val="00BA7802"/>
    <w:rsid w:val="00BB059B"/>
    <w:rsid w:val="00BB4B21"/>
    <w:rsid w:val="00BC5B77"/>
    <w:rsid w:val="00BD3C26"/>
    <w:rsid w:val="00BD7EA0"/>
    <w:rsid w:val="00BE049C"/>
    <w:rsid w:val="00BE117E"/>
    <w:rsid w:val="00BE16D2"/>
    <w:rsid w:val="00BE2210"/>
    <w:rsid w:val="00BE3366"/>
    <w:rsid w:val="00BE5AC7"/>
    <w:rsid w:val="00BF348B"/>
    <w:rsid w:val="00BF3C23"/>
    <w:rsid w:val="00BF3CFB"/>
    <w:rsid w:val="00BF3E58"/>
    <w:rsid w:val="00BF4A8E"/>
    <w:rsid w:val="00BF73E4"/>
    <w:rsid w:val="00BF75D8"/>
    <w:rsid w:val="00C039F5"/>
    <w:rsid w:val="00C0628D"/>
    <w:rsid w:val="00C21AD1"/>
    <w:rsid w:val="00C23C8C"/>
    <w:rsid w:val="00C23DEB"/>
    <w:rsid w:val="00C27370"/>
    <w:rsid w:val="00C3042D"/>
    <w:rsid w:val="00C306B9"/>
    <w:rsid w:val="00C31484"/>
    <w:rsid w:val="00C362B7"/>
    <w:rsid w:val="00C3693F"/>
    <w:rsid w:val="00C36BE0"/>
    <w:rsid w:val="00C3735B"/>
    <w:rsid w:val="00C37A6A"/>
    <w:rsid w:val="00C415EA"/>
    <w:rsid w:val="00C431D7"/>
    <w:rsid w:val="00C436B8"/>
    <w:rsid w:val="00C443D7"/>
    <w:rsid w:val="00C459E8"/>
    <w:rsid w:val="00C53044"/>
    <w:rsid w:val="00C620FD"/>
    <w:rsid w:val="00C639E4"/>
    <w:rsid w:val="00C71CED"/>
    <w:rsid w:val="00C76C39"/>
    <w:rsid w:val="00C778C6"/>
    <w:rsid w:val="00C80C62"/>
    <w:rsid w:val="00C82A8A"/>
    <w:rsid w:val="00C854B1"/>
    <w:rsid w:val="00C8557B"/>
    <w:rsid w:val="00C8634C"/>
    <w:rsid w:val="00C95AA4"/>
    <w:rsid w:val="00C9666A"/>
    <w:rsid w:val="00CA168B"/>
    <w:rsid w:val="00CA4694"/>
    <w:rsid w:val="00CA4B2B"/>
    <w:rsid w:val="00CA4D78"/>
    <w:rsid w:val="00CA7FFE"/>
    <w:rsid w:val="00CB032B"/>
    <w:rsid w:val="00CB0554"/>
    <w:rsid w:val="00CB31C8"/>
    <w:rsid w:val="00CC1136"/>
    <w:rsid w:val="00CC2989"/>
    <w:rsid w:val="00CC5606"/>
    <w:rsid w:val="00CD02A5"/>
    <w:rsid w:val="00CD164F"/>
    <w:rsid w:val="00CD4B11"/>
    <w:rsid w:val="00CD75B9"/>
    <w:rsid w:val="00CD7F0B"/>
    <w:rsid w:val="00CE1046"/>
    <w:rsid w:val="00CE590E"/>
    <w:rsid w:val="00CF0F0C"/>
    <w:rsid w:val="00CF1EA3"/>
    <w:rsid w:val="00CF5A2D"/>
    <w:rsid w:val="00D02DF1"/>
    <w:rsid w:val="00D044DC"/>
    <w:rsid w:val="00D05A02"/>
    <w:rsid w:val="00D06BE3"/>
    <w:rsid w:val="00D0725D"/>
    <w:rsid w:val="00D11EC8"/>
    <w:rsid w:val="00D11F38"/>
    <w:rsid w:val="00D11F49"/>
    <w:rsid w:val="00D157FD"/>
    <w:rsid w:val="00D17467"/>
    <w:rsid w:val="00D17C0B"/>
    <w:rsid w:val="00D2150F"/>
    <w:rsid w:val="00D215DF"/>
    <w:rsid w:val="00D22160"/>
    <w:rsid w:val="00D239DA"/>
    <w:rsid w:val="00D25409"/>
    <w:rsid w:val="00D33E3B"/>
    <w:rsid w:val="00D3441F"/>
    <w:rsid w:val="00D40B85"/>
    <w:rsid w:val="00D40FAE"/>
    <w:rsid w:val="00D41E19"/>
    <w:rsid w:val="00D47831"/>
    <w:rsid w:val="00D535AC"/>
    <w:rsid w:val="00D555C7"/>
    <w:rsid w:val="00D566F4"/>
    <w:rsid w:val="00D60855"/>
    <w:rsid w:val="00D621F5"/>
    <w:rsid w:val="00D66EA5"/>
    <w:rsid w:val="00D779D7"/>
    <w:rsid w:val="00D81F86"/>
    <w:rsid w:val="00D845DD"/>
    <w:rsid w:val="00D86FAE"/>
    <w:rsid w:val="00D96627"/>
    <w:rsid w:val="00D96D2F"/>
    <w:rsid w:val="00DA137E"/>
    <w:rsid w:val="00DA2EC3"/>
    <w:rsid w:val="00DA5E7D"/>
    <w:rsid w:val="00DA61BF"/>
    <w:rsid w:val="00DB63D6"/>
    <w:rsid w:val="00DC075C"/>
    <w:rsid w:val="00DC113C"/>
    <w:rsid w:val="00DC6A97"/>
    <w:rsid w:val="00DC6FBB"/>
    <w:rsid w:val="00DD1B58"/>
    <w:rsid w:val="00DD3940"/>
    <w:rsid w:val="00DD3B93"/>
    <w:rsid w:val="00DD49D7"/>
    <w:rsid w:val="00DD5D38"/>
    <w:rsid w:val="00DE05FE"/>
    <w:rsid w:val="00DE33CE"/>
    <w:rsid w:val="00DE5BB5"/>
    <w:rsid w:val="00DE5EE8"/>
    <w:rsid w:val="00DE720C"/>
    <w:rsid w:val="00DE74EC"/>
    <w:rsid w:val="00DE7850"/>
    <w:rsid w:val="00DF0B01"/>
    <w:rsid w:val="00DF2060"/>
    <w:rsid w:val="00DF34E1"/>
    <w:rsid w:val="00DF56B6"/>
    <w:rsid w:val="00DF5A46"/>
    <w:rsid w:val="00E0065F"/>
    <w:rsid w:val="00E00BC1"/>
    <w:rsid w:val="00E0221F"/>
    <w:rsid w:val="00E10B5B"/>
    <w:rsid w:val="00E11105"/>
    <w:rsid w:val="00E1207E"/>
    <w:rsid w:val="00E152DC"/>
    <w:rsid w:val="00E16939"/>
    <w:rsid w:val="00E1766A"/>
    <w:rsid w:val="00E267E6"/>
    <w:rsid w:val="00E30A8F"/>
    <w:rsid w:val="00E34501"/>
    <w:rsid w:val="00E35B8F"/>
    <w:rsid w:val="00E35BC6"/>
    <w:rsid w:val="00E40078"/>
    <w:rsid w:val="00E42BC4"/>
    <w:rsid w:val="00E444AB"/>
    <w:rsid w:val="00E4461B"/>
    <w:rsid w:val="00E4520C"/>
    <w:rsid w:val="00E45320"/>
    <w:rsid w:val="00E54361"/>
    <w:rsid w:val="00E57993"/>
    <w:rsid w:val="00E62B01"/>
    <w:rsid w:val="00E64B67"/>
    <w:rsid w:val="00E669CD"/>
    <w:rsid w:val="00E66D3F"/>
    <w:rsid w:val="00E70A2C"/>
    <w:rsid w:val="00E70CB9"/>
    <w:rsid w:val="00E710AF"/>
    <w:rsid w:val="00E72CB6"/>
    <w:rsid w:val="00E76C7E"/>
    <w:rsid w:val="00E77934"/>
    <w:rsid w:val="00E81A92"/>
    <w:rsid w:val="00E81C05"/>
    <w:rsid w:val="00E83A1D"/>
    <w:rsid w:val="00E847A7"/>
    <w:rsid w:val="00E85FF2"/>
    <w:rsid w:val="00E86A1A"/>
    <w:rsid w:val="00E86CBA"/>
    <w:rsid w:val="00E90E39"/>
    <w:rsid w:val="00E91BFE"/>
    <w:rsid w:val="00E93C25"/>
    <w:rsid w:val="00EA186C"/>
    <w:rsid w:val="00EA413A"/>
    <w:rsid w:val="00EA5D8D"/>
    <w:rsid w:val="00EB0509"/>
    <w:rsid w:val="00EB1557"/>
    <w:rsid w:val="00EB7E99"/>
    <w:rsid w:val="00EC2A56"/>
    <w:rsid w:val="00EC526B"/>
    <w:rsid w:val="00ED0E27"/>
    <w:rsid w:val="00ED3522"/>
    <w:rsid w:val="00ED48BA"/>
    <w:rsid w:val="00EE214A"/>
    <w:rsid w:val="00EE3215"/>
    <w:rsid w:val="00EE570F"/>
    <w:rsid w:val="00EE5F89"/>
    <w:rsid w:val="00EF1B2D"/>
    <w:rsid w:val="00F0196A"/>
    <w:rsid w:val="00F0256D"/>
    <w:rsid w:val="00F07B2D"/>
    <w:rsid w:val="00F15F1D"/>
    <w:rsid w:val="00F172EE"/>
    <w:rsid w:val="00F201ED"/>
    <w:rsid w:val="00F22FC2"/>
    <w:rsid w:val="00F248B6"/>
    <w:rsid w:val="00F27F3B"/>
    <w:rsid w:val="00F31637"/>
    <w:rsid w:val="00F33B9F"/>
    <w:rsid w:val="00F354CF"/>
    <w:rsid w:val="00F41932"/>
    <w:rsid w:val="00F4235E"/>
    <w:rsid w:val="00F44C22"/>
    <w:rsid w:val="00F47291"/>
    <w:rsid w:val="00F4789A"/>
    <w:rsid w:val="00F51C00"/>
    <w:rsid w:val="00F51FDE"/>
    <w:rsid w:val="00F57632"/>
    <w:rsid w:val="00F57A7E"/>
    <w:rsid w:val="00F61364"/>
    <w:rsid w:val="00F614C4"/>
    <w:rsid w:val="00F61E2F"/>
    <w:rsid w:val="00F63511"/>
    <w:rsid w:val="00F723FF"/>
    <w:rsid w:val="00F7256C"/>
    <w:rsid w:val="00F73D64"/>
    <w:rsid w:val="00F75A59"/>
    <w:rsid w:val="00F7650A"/>
    <w:rsid w:val="00F77E25"/>
    <w:rsid w:val="00F825C2"/>
    <w:rsid w:val="00F82F95"/>
    <w:rsid w:val="00F90824"/>
    <w:rsid w:val="00F95DDF"/>
    <w:rsid w:val="00F96108"/>
    <w:rsid w:val="00F9788A"/>
    <w:rsid w:val="00F97D4A"/>
    <w:rsid w:val="00FA40B2"/>
    <w:rsid w:val="00FA4A74"/>
    <w:rsid w:val="00FA70A7"/>
    <w:rsid w:val="00FA7ED0"/>
    <w:rsid w:val="00FB5337"/>
    <w:rsid w:val="00FB7A4A"/>
    <w:rsid w:val="00FB7AEB"/>
    <w:rsid w:val="00FC2874"/>
    <w:rsid w:val="00FC2E34"/>
    <w:rsid w:val="00FC4717"/>
    <w:rsid w:val="00FD06DF"/>
    <w:rsid w:val="00FD0B4D"/>
    <w:rsid w:val="00FD1724"/>
    <w:rsid w:val="00FD6F81"/>
    <w:rsid w:val="00FE1BDF"/>
    <w:rsid w:val="00FE316C"/>
    <w:rsid w:val="00FF0C3E"/>
    <w:rsid w:val="00FF4459"/>
    <w:rsid w:val="00FF63E3"/>
    <w:rsid w:val="00FF701B"/>
    <w:rsid w:val="1760AD4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5"/>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D11EC8"/>
    <w:pPr>
      <w:spacing w:after="0"/>
      <w:ind w:left="284" w:hanging="284"/>
    </w:pPr>
    <w:rPr>
      <w:sz w:val="20"/>
    </w:rPr>
  </w:style>
  <w:style w:type="character" w:customStyle="1" w:styleId="FootnoteTextChar">
    <w:name w:val="Footnote Text Char"/>
    <w:basedOn w:val="DefaultParagraphFont"/>
    <w:link w:val="FootnoteText"/>
    <w:uiPriority w:val="99"/>
    <w:rsid w:val="00D11EC8"/>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7"/>
      </w:num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7"/>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7"/>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3715C7"/>
    <w:pPr>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885C97"/>
    <w:pPr>
      <w:tabs>
        <w:tab w:val="right" w:leader="dot" w:pos="8494"/>
      </w:tabs>
      <w:spacing w:before="0" w:after="100" w:line="276" w:lineRule="auto"/>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904C6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904C61"/>
    <w:pPr>
      <w:spacing w:before="0" w:after="0"/>
      <w:ind w:left="240" w:hanging="240"/>
    </w:pPr>
    <w:rPr>
      <w:rFonts w:ascii="Calibri" w:hAnsi="Calibri"/>
      <w:color w:val="000000" w:themeColor="text1"/>
      <w:sz w:val="24"/>
      <w:szCs w:val="24"/>
    </w:rPr>
  </w:style>
  <w:style w:type="character" w:styleId="Mention">
    <w:name w:val="Mention"/>
    <w:basedOn w:val="DefaultParagraphFont"/>
    <w:uiPriority w:val="99"/>
    <w:unhideWhenUsed/>
    <w:rsid w:val="00790B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bcompliance@ato.gov.au" TargetMode="External"/><Relationship Id="rId13" Type="http://schemas.openxmlformats.org/officeDocument/2006/relationships/hyperlink" Target="https://foreigninvestment.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to.gov.au/General/Foreign-investment-in-Australia/Report-a-breach-of-the-foreign-investment-real-estate-rules/" TargetMode="External"/><Relationship Id="rId12" Type="http://schemas.openxmlformats.org/officeDocument/2006/relationships/hyperlink" Target="https://www.ato.gov.au/General/Foreign-investment-in-Australia/Completing-the-residential-real-estate-application-fo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Latest/C2022C003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irbcompliance@ato.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to.gov.au/General/Foreign-investment-in-Australia/Report-a-breach-of-the-foreign-investment-real-estate-rul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5334</Words>
  <Characters>27569</Characters>
  <Application>Microsoft Office Word</Application>
  <DocSecurity>0</DocSecurity>
  <Lines>659</Lines>
  <Paragraphs>276</Paragraphs>
  <ScaleCrop>false</ScaleCrop>
  <HeadingPairs>
    <vt:vector size="2" baseType="variant">
      <vt:variant>
        <vt:lpstr>Title</vt:lpstr>
      </vt:variant>
      <vt:variant>
        <vt:i4>1</vt:i4>
      </vt:variant>
    </vt:vector>
  </HeadingPairs>
  <TitlesOfParts>
    <vt:vector size="1" baseType="lpstr">
      <vt:lpstr>Guidance Note 14 – Compliance and Penalties (Residential Land)</vt:lpstr>
    </vt:vector>
  </TitlesOfParts>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14 – Compliance and Penalties (Residential Land)</dc:title>
  <dc:subject/>
  <dc:creator>Treasury</dc:creator>
  <cp:keywords/>
  <dc:description/>
  <cp:lastModifiedBy/>
  <cp:revision>1</cp:revision>
  <dcterms:created xsi:type="dcterms:W3CDTF">2025-03-12T22:50:00Z</dcterms:created>
  <dcterms:modified xsi:type="dcterms:W3CDTF">2025-03-12T22:51:00Z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2025-03-12T22:51:00Z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ced79034-5499-4891-ab10-40fe7c4c4766</vt:lpwstr>
  </property>
  <property fmtid="{D5CDD505-2E9C-101B-9397-08002B2CF9AE}" pid="8" name="MSIP_Label_4f932d64-9ab1-4d9b-81d2-a3a8b82dd47d_ContentBits">
    <vt:lpwstr>0</vt:lpwstr>
  </property>
</Properties>
</file>