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2E43" w14:textId="7205126C" w:rsidR="00B83781" w:rsidRDefault="00F97D4A" w:rsidP="000F5D59">
      <w:pPr>
        <w:pStyle w:val="Factsheettitle"/>
        <w:spacing w:before="1440" w:after="360"/>
      </w:pPr>
      <w:r w:rsidRPr="00F97D4A">
        <w:t>G</w:t>
      </w:r>
      <w:r>
        <w:t>uidance Note</w:t>
      </w:r>
      <w:r w:rsidR="00DD3940">
        <w:t xml:space="preserve"> </w:t>
      </w:r>
      <w:r w:rsidR="004E196A">
        <w:t>1</w:t>
      </w:r>
      <w:r w:rsidR="001421A1">
        <w:t>2</w:t>
      </w:r>
    </w:p>
    <w:p w14:paraId="41C36436" w14:textId="3A00CB18" w:rsidR="00986A46" w:rsidRPr="006E76BE" w:rsidRDefault="00B53A17" w:rsidP="000F5D59">
      <w:pPr>
        <w:pStyle w:val="Heading1"/>
      </w:pPr>
      <w:bookmarkStart w:id="0" w:name="_Toc164179438"/>
      <w:bookmarkStart w:id="1" w:name="_Toc177473843"/>
      <w:bookmarkStart w:id="2" w:name="_Toc191384255"/>
      <w:r>
        <w:t>Tax Conditions</w:t>
      </w:r>
      <w:bookmarkEnd w:id="0"/>
      <w:bookmarkEnd w:id="1"/>
      <w:bookmarkEnd w:id="2"/>
      <w:r w:rsidR="009115C0" w:rsidRPr="009115C0">
        <w:t xml:space="preserve"> </w:t>
      </w:r>
    </w:p>
    <w:p w14:paraId="5B3F68E6" w14:textId="77777777" w:rsidR="000F5D59" w:rsidRDefault="000F5D59" w:rsidP="000F5D59">
      <w:pPr>
        <w:pStyle w:val="NoSpacing"/>
      </w:pPr>
    </w:p>
    <w:p w14:paraId="0F7BA483" w14:textId="77777777" w:rsidR="000F08AE" w:rsidRDefault="000F08AE" w:rsidP="000F08AE">
      <w:pPr>
        <w:pStyle w:val="Bullet"/>
      </w:pPr>
      <w:r>
        <w:t xml:space="preserve">Foreign investment is important, but </w:t>
      </w:r>
      <w:r w:rsidRPr="008D5542">
        <w:t>it must work in Australia’s national interest. The impact of tax risks in foreign investment proposals</w:t>
      </w:r>
      <w:r>
        <w:t xml:space="preserve"> on Australian tax revenue is a key consideration of the national interest test.</w:t>
      </w:r>
    </w:p>
    <w:p w14:paraId="1562F8F4" w14:textId="77777777" w:rsidR="000F08AE" w:rsidRDefault="000F08AE" w:rsidP="000F08AE">
      <w:pPr>
        <w:pStyle w:val="Bullet"/>
      </w:pPr>
      <w:r>
        <w:t>The Government is increasing scrutiny of tax arrangements which pose a risk to revenue to ensure that multinational companies are adhering to Australia’s taxation laws. The Government’s approach to tax risk reflects the international trend to ensure that entities pay the right amount of tax in the countries in which they operate and where value creation occurs.</w:t>
      </w:r>
    </w:p>
    <w:p w14:paraId="10F5676F" w14:textId="5B4F3B18" w:rsidR="000F08AE" w:rsidRDefault="5C024984" w:rsidP="000F08AE">
      <w:pPr>
        <w:pStyle w:val="Bullet"/>
      </w:pPr>
      <w:r>
        <w:t xml:space="preserve">Additional scrutiny, and tax conditions where necessary, will be applied to foreign investment </w:t>
      </w:r>
      <w:r w:rsidR="00F32CB5">
        <w:t>proposals</w:t>
      </w:r>
      <w:r>
        <w:t xml:space="preserve"> with certain tax risk characteristics particularly those assessed as medium or high risk.</w:t>
      </w:r>
    </w:p>
    <w:p w14:paraId="318DC90B" w14:textId="099AE190" w:rsidR="000F08AE" w:rsidRDefault="000F08AE" w:rsidP="000F08AE">
      <w:pPr>
        <w:pStyle w:val="Bullet"/>
      </w:pPr>
      <w:r>
        <w:t xml:space="preserve">If a foreign investment </w:t>
      </w:r>
      <w:r w:rsidR="00D21170">
        <w:t>proposal</w:t>
      </w:r>
      <w:r>
        <w:t xml:space="preserve"> is approved, it may be approved subject to certain conditions, including tax conditions. </w:t>
      </w:r>
    </w:p>
    <w:p w14:paraId="27667BEC" w14:textId="77777777" w:rsidR="000F08AE" w:rsidRDefault="000F08AE" w:rsidP="000F08AE">
      <w:pPr>
        <w:pStyle w:val="Bullet"/>
        <w:numPr>
          <w:ilvl w:val="1"/>
          <w:numId w:val="1"/>
        </w:numPr>
        <w:tabs>
          <w:tab w:val="num" w:pos="1040"/>
        </w:tabs>
        <w:ind w:left="1040" w:hanging="520"/>
      </w:pPr>
      <w:r>
        <w:t xml:space="preserve">A set of guiding principles have been established to aid in the development of any condition(s). See the </w:t>
      </w:r>
      <w:r>
        <w:rPr>
          <w:i/>
        </w:rPr>
        <w:t>Principles for Developing Conditions</w:t>
      </w:r>
      <w:r>
        <w:t xml:space="preserve"> Guidance Note.</w:t>
      </w:r>
    </w:p>
    <w:p w14:paraId="7C539DE8" w14:textId="77777777" w:rsidR="000F08AE" w:rsidRDefault="000F08AE" w:rsidP="000F08AE">
      <w:pPr>
        <w:pStyle w:val="Bullet"/>
      </w:pPr>
      <w:r>
        <w:t xml:space="preserve">The Government will take appropriate and proportionate action to mitigate identified tax risks </w:t>
      </w:r>
      <w:proofErr w:type="gramStart"/>
      <w:r>
        <w:t>through the use of</w:t>
      </w:r>
      <w:proofErr w:type="gramEnd"/>
      <w:r>
        <w:t xml:space="preserve"> tax conditions:  </w:t>
      </w:r>
    </w:p>
    <w:p w14:paraId="2EDDBBA7" w14:textId="77777777" w:rsidR="000F08AE" w:rsidRDefault="000F08AE" w:rsidP="000F08AE">
      <w:pPr>
        <w:pStyle w:val="Bullet"/>
        <w:numPr>
          <w:ilvl w:val="1"/>
          <w:numId w:val="1"/>
        </w:numPr>
        <w:tabs>
          <w:tab w:val="num" w:pos="1040"/>
        </w:tabs>
        <w:ind w:left="1040" w:hanging="520"/>
      </w:pPr>
      <w:r>
        <w:t xml:space="preserve">The Treasurer will impose tax conditions to an investment where they are considered necessary to protect the national interest. This will be done on a case-by-case basis and may be tailored to significant or </w:t>
      </w:r>
      <w:proofErr w:type="gramStart"/>
      <w:r>
        <w:t>particular tax</w:t>
      </w:r>
      <w:proofErr w:type="gramEnd"/>
      <w:r>
        <w:t xml:space="preserve"> risks.</w:t>
      </w:r>
    </w:p>
    <w:p w14:paraId="0B74BE94" w14:textId="107DCC56" w:rsidR="000F08AE" w:rsidRDefault="000F08AE" w:rsidP="000F08AE">
      <w:pPr>
        <w:pStyle w:val="Bullet"/>
      </w:pPr>
      <w:r>
        <w:t xml:space="preserve">Maintaining strong compliance with Australia’s foreign investment legislation is a priority for the Government. Failure to comply with Australia’s foreign investment legislation – including tax conditions – can result in significant penalties, including </w:t>
      </w:r>
      <w:r w:rsidR="00D60907">
        <w:t>enforceable undertakings, direction orders, infringement notices, civil and criminal penalties</w:t>
      </w:r>
      <w:r>
        <w:t>.</w:t>
      </w:r>
    </w:p>
    <w:p w14:paraId="18BFDD21" w14:textId="77777777" w:rsidR="000F08AE" w:rsidRDefault="000F08AE" w:rsidP="000F08AE"/>
    <w:p w14:paraId="4614A8B0" w14:textId="77777777" w:rsidR="007072FB" w:rsidRDefault="007072FB">
      <w:pPr>
        <w:spacing w:before="0" w:after="0"/>
        <w:rPr>
          <w:rFonts w:asciiTheme="minorHAnsi" w:eastAsiaTheme="minorHAnsi" w:hAnsiTheme="minorHAnsi" w:cstheme="minorBidi"/>
          <w:b/>
          <w:color w:val="5F5F5F" w:themeColor="text2"/>
          <w:sz w:val="32"/>
          <w:szCs w:val="32"/>
          <w:lang w:eastAsia="en-US"/>
        </w:rPr>
      </w:pPr>
      <w:r>
        <w:rPr>
          <w:rFonts w:asciiTheme="minorHAnsi" w:eastAsiaTheme="minorHAnsi" w:hAnsiTheme="minorHAnsi" w:cstheme="minorBidi"/>
          <w:b/>
          <w:color w:val="5F5F5F" w:themeColor="text2"/>
          <w:sz w:val="32"/>
          <w:szCs w:val="32"/>
          <w:lang w:eastAsia="en-US"/>
        </w:rPr>
        <w:br w:type="page"/>
      </w:r>
    </w:p>
    <w:sdt>
      <w:sdtPr>
        <w:rPr>
          <w:rFonts w:eastAsiaTheme="minorEastAsia"/>
          <w:b/>
          <w:bCs/>
          <w:color w:val="5F5F5F" w:themeColor="text2"/>
          <w:sz w:val="32"/>
          <w:szCs w:val="32"/>
        </w:rPr>
        <w:id w:val="-1707554510"/>
        <w:docPartObj>
          <w:docPartGallery w:val="Table of Contents"/>
          <w:docPartUnique/>
        </w:docPartObj>
      </w:sdtPr>
      <w:sdtEndPr>
        <w:rPr>
          <w:color w:val="auto"/>
          <w:sz w:val="22"/>
          <w:szCs w:val="22"/>
        </w:rPr>
      </w:sdtEndPr>
      <w:sdtContent>
        <w:p w14:paraId="7C6626C8" w14:textId="1DD6377E" w:rsidR="00C0233C" w:rsidRPr="00C0233C" w:rsidRDefault="00136ED0">
          <w:pPr>
            <w:pStyle w:val="TOC1"/>
            <w:rPr>
              <w:noProof/>
              <w:color w:val="5D779D" w:themeColor="accent3"/>
              <w:u w:val="single"/>
            </w:rPr>
          </w:pPr>
          <w:r w:rsidRPr="001A7159">
            <w:rPr>
              <w:rFonts w:cs="Calibri Light"/>
              <w:noProof/>
              <w:color w:val="5F5F5F" w:themeColor="text2"/>
              <w:sz w:val="32"/>
              <w:szCs w:val="32"/>
            </w:rPr>
            <w:t>Looking for more?</w:t>
          </w:r>
          <w:r w:rsidR="00D0368B" w:rsidRPr="00D0368B">
            <w:rPr>
              <w:rStyle w:val="Hyperlink"/>
              <w:noProof/>
            </w:rPr>
            <w:t xml:space="preserve"> </w:t>
          </w:r>
          <w:r w:rsidRPr="001A7159">
            <w:rPr>
              <w:rFonts w:ascii="Calibri Light" w:hAnsi="Calibri Light" w:cs="Calibri Light"/>
            </w:rPr>
            <w:fldChar w:fldCharType="begin"/>
          </w:r>
          <w:r w:rsidRPr="001A7159">
            <w:rPr>
              <w:rFonts w:cs="Calibri Light"/>
            </w:rPr>
            <w:instrText xml:space="preserve"> TOC \o "1-2" \h \z \u </w:instrText>
          </w:r>
          <w:r w:rsidRPr="001A7159">
            <w:rPr>
              <w:rFonts w:ascii="Calibri Light" w:hAnsi="Calibri Light" w:cs="Calibri Light"/>
            </w:rPr>
            <w:fldChar w:fldCharType="separate"/>
          </w:r>
        </w:p>
        <w:p w14:paraId="75EACEF3" w14:textId="1EB0C26B" w:rsidR="00C0233C" w:rsidRPr="00C0233C" w:rsidRDefault="00574B4A">
          <w:pPr>
            <w:pStyle w:val="TOC2"/>
            <w:rPr>
              <w:rFonts w:ascii="Calibri Light" w:eastAsiaTheme="minorEastAsia" w:hAnsi="Calibri Light" w:cs="Calibri Light"/>
              <w:noProof/>
              <w:kern w:val="2"/>
              <w:sz w:val="24"/>
              <w:szCs w:val="24"/>
              <w:lang w:eastAsia="en-AU"/>
              <w14:ligatures w14:val="standardContextual"/>
            </w:rPr>
          </w:pPr>
          <w:hyperlink w:anchor="_Toc191384256" w:history="1">
            <w:r w:rsidR="00C0233C" w:rsidRPr="00C0233C">
              <w:rPr>
                <w:rStyle w:val="Hyperlink"/>
                <w:rFonts w:ascii="Calibri Light" w:hAnsi="Calibri Light" w:cs="Calibri Light"/>
                <w:noProof/>
              </w:rPr>
              <w:t>A: Tax risk assessment</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_Toc191384256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634336">
              <w:rPr>
                <w:rFonts w:ascii="Calibri Light" w:hAnsi="Calibri Light" w:cs="Calibri Light"/>
                <w:noProof/>
                <w:webHidden/>
              </w:rPr>
              <w:t>3</w:t>
            </w:r>
            <w:r w:rsidR="00C0233C" w:rsidRPr="00C0233C">
              <w:rPr>
                <w:rFonts w:ascii="Calibri Light" w:hAnsi="Calibri Light" w:cs="Calibri Light"/>
                <w:noProof/>
                <w:webHidden/>
              </w:rPr>
              <w:fldChar w:fldCharType="end"/>
            </w:r>
          </w:hyperlink>
        </w:p>
        <w:p w14:paraId="4C1229B3" w14:textId="36EF0B8F" w:rsidR="00C0233C" w:rsidRPr="00C0233C" w:rsidRDefault="00574B4A">
          <w:pPr>
            <w:pStyle w:val="TOC2"/>
            <w:rPr>
              <w:rFonts w:ascii="Calibri Light" w:eastAsiaTheme="minorEastAsia" w:hAnsi="Calibri Light" w:cs="Calibri Light"/>
              <w:noProof/>
              <w:kern w:val="2"/>
              <w:sz w:val="24"/>
              <w:szCs w:val="24"/>
              <w:lang w:eastAsia="en-AU"/>
              <w14:ligatures w14:val="standardContextual"/>
            </w:rPr>
          </w:pPr>
          <w:hyperlink w:anchor="_Toc191384257" w:history="1">
            <w:r w:rsidR="00C0233C" w:rsidRPr="00C0233C">
              <w:rPr>
                <w:rStyle w:val="Hyperlink"/>
                <w:rFonts w:ascii="Calibri Light" w:hAnsi="Calibri Light" w:cs="Calibri Light"/>
                <w:noProof/>
              </w:rPr>
              <w:t>B: Summary of tax issues</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_Toc191384257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634336">
              <w:rPr>
                <w:rFonts w:ascii="Calibri Light" w:hAnsi="Calibri Light" w:cs="Calibri Light"/>
                <w:noProof/>
                <w:webHidden/>
              </w:rPr>
              <w:t>4</w:t>
            </w:r>
            <w:r w:rsidR="00C0233C" w:rsidRPr="00C0233C">
              <w:rPr>
                <w:rFonts w:ascii="Calibri Light" w:hAnsi="Calibri Light" w:cs="Calibri Light"/>
                <w:noProof/>
                <w:webHidden/>
              </w:rPr>
              <w:fldChar w:fldCharType="end"/>
            </w:r>
          </w:hyperlink>
        </w:p>
        <w:p w14:paraId="6FD6A7BE" w14:textId="635AC84F" w:rsidR="00C0233C" w:rsidRPr="00C0233C" w:rsidRDefault="00574B4A">
          <w:pPr>
            <w:pStyle w:val="TOC2"/>
            <w:rPr>
              <w:rFonts w:ascii="Calibri Light" w:eastAsiaTheme="minorEastAsia" w:hAnsi="Calibri Light" w:cs="Calibri Light"/>
              <w:noProof/>
              <w:kern w:val="2"/>
              <w:sz w:val="24"/>
              <w:szCs w:val="24"/>
              <w:lang w:eastAsia="en-AU"/>
              <w14:ligatures w14:val="standardContextual"/>
            </w:rPr>
          </w:pPr>
          <w:hyperlink w:anchor="_Toc191384258" w:history="1">
            <w:r w:rsidR="00C0233C" w:rsidRPr="00C0233C">
              <w:rPr>
                <w:rStyle w:val="Hyperlink"/>
                <w:rFonts w:ascii="Calibri Light" w:hAnsi="Calibri Light" w:cs="Calibri Light"/>
                <w:noProof/>
              </w:rPr>
              <w:t>C: When may a tax condition be imposed?</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_Toc191384258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634336">
              <w:rPr>
                <w:rFonts w:ascii="Calibri Light" w:hAnsi="Calibri Light" w:cs="Calibri Light"/>
                <w:noProof/>
                <w:webHidden/>
              </w:rPr>
              <w:t>7</w:t>
            </w:r>
            <w:r w:rsidR="00C0233C" w:rsidRPr="00C0233C">
              <w:rPr>
                <w:rFonts w:ascii="Calibri Light" w:hAnsi="Calibri Light" w:cs="Calibri Light"/>
                <w:noProof/>
                <w:webHidden/>
              </w:rPr>
              <w:fldChar w:fldCharType="end"/>
            </w:r>
          </w:hyperlink>
        </w:p>
        <w:p w14:paraId="18EE1D8F" w14:textId="2B9A7BD4" w:rsidR="00C0233C" w:rsidRPr="00C0233C" w:rsidRDefault="00574B4A">
          <w:pPr>
            <w:pStyle w:val="TOC2"/>
            <w:rPr>
              <w:rFonts w:ascii="Calibri Light" w:eastAsiaTheme="minorEastAsia" w:hAnsi="Calibri Light" w:cs="Calibri Light"/>
              <w:noProof/>
              <w:kern w:val="2"/>
              <w:sz w:val="24"/>
              <w:szCs w:val="24"/>
              <w:lang w:eastAsia="en-AU"/>
              <w14:ligatures w14:val="standardContextual"/>
            </w:rPr>
          </w:pPr>
          <w:hyperlink w:anchor="_Toc191384259" w:history="1">
            <w:r w:rsidR="00C0233C" w:rsidRPr="00C0233C">
              <w:rPr>
                <w:rStyle w:val="Hyperlink"/>
                <w:rFonts w:ascii="Calibri Light" w:hAnsi="Calibri Light" w:cs="Calibri Light"/>
                <w:noProof/>
              </w:rPr>
              <w:t>D: Examples of tax conditions</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_Toc191384259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634336">
              <w:rPr>
                <w:rFonts w:ascii="Calibri Light" w:hAnsi="Calibri Light" w:cs="Calibri Light"/>
                <w:noProof/>
                <w:webHidden/>
              </w:rPr>
              <w:t>8</w:t>
            </w:r>
            <w:r w:rsidR="00C0233C" w:rsidRPr="00C0233C">
              <w:rPr>
                <w:rFonts w:ascii="Calibri Light" w:hAnsi="Calibri Light" w:cs="Calibri Light"/>
                <w:noProof/>
                <w:webHidden/>
              </w:rPr>
              <w:fldChar w:fldCharType="end"/>
            </w:r>
          </w:hyperlink>
        </w:p>
        <w:p w14:paraId="01F0C268" w14:textId="15735A6E" w:rsidR="00C0233C" w:rsidRPr="00C0233C" w:rsidRDefault="00574B4A">
          <w:pPr>
            <w:pStyle w:val="TOC2"/>
            <w:rPr>
              <w:rFonts w:ascii="Calibri Light" w:eastAsiaTheme="minorEastAsia" w:hAnsi="Calibri Light" w:cs="Calibri Light"/>
              <w:noProof/>
              <w:kern w:val="2"/>
              <w:sz w:val="24"/>
              <w:szCs w:val="24"/>
              <w:lang w:eastAsia="en-AU"/>
              <w14:ligatures w14:val="standardContextual"/>
            </w:rPr>
          </w:pPr>
          <w:hyperlink w:anchor="_Toc191384260" w:history="1">
            <w:r w:rsidR="00C0233C" w:rsidRPr="00C0233C">
              <w:rPr>
                <w:rStyle w:val="Hyperlink"/>
                <w:rFonts w:ascii="Calibri Light" w:hAnsi="Calibri Light" w:cs="Calibri Light"/>
                <w:noProof/>
              </w:rPr>
              <w:t>E: What is the effect of the conditions?</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_Toc191384260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634336">
              <w:rPr>
                <w:rFonts w:ascii="Calibri Light" w:hAnsi="Calibri Light" w:cs="Calibri Light"/>
                <w:noProof/>
                <w:webHidden/>
              </w:rPr>
              <w:t>11</w:t>
            </w:r>
            <w:r w:rsidR="00C0233C" w:rsidRPr="00C0233C">
              <w:rPr>
                <w:rFonts w:ascii="Calibri Light" w:hAnsi="Calibri Light" w:cs="Calibri Light"/>
                <w:noProof/>
                <w:webHidden/>
              </w:rPr>
              <w:fldChar w:fldCharType="end"/>
            </w:r>
          </w:hyperlink>
        </w:p>
        <w:p w14:paraId="0C5EBFE4" w14:textId="12321922" w:rsidR="00C0233C" w:rsidRPr="00C0233C" w:rsidRDefault="00574B4A">
          <w:pPr>
            <w:pStyle w:val="TOC2"/>
            <w:rPr>
              <w:rFonts w:ascii="Calibri Light" w:eastAsiaTheme="minorEastAsia" w:hAnsi="Calibri Light" w:cs="Calibri Light"/>
              <w:noProof/>
              <w:kern w:val="2"/>
              <w:sz w:val="24"/>
              <w:szCs w:val="24"/>
              <w:lang w:eastAsia="en-AU"/>
              <w14:ligatures w14:val="standardContextual"/>
            </w:rPr>
          </w:pPr>
          <w:hyperlink w:anchor="_Toc191384261" w:history="1">
            <w:r w:rsidR="00C0233C" w:rsidRPr="00C0233C">
              <w:rPr>
                <w:rStyle w:val="Hyperlink"/>
                <w:rFonts w:ascii="Calibri Light" w:hAnsi="Calibri Light" w:cs="Calibri Light"/>
                <w:noProof/>
              </w:rPr>
              <w:t>F: Consequences of non</w:t>
            </w:r>
            <w:r w:rsidR="00C0233C" w:rsidRPr="00C0233C">
              <w:rPr>
                <w:rStyle w:val="Hyperlink"/>
                <w:rFonts w:ascii="Calibri Light" w:hAnsi="Calibri Light" w:cs="Calibri Light"/>
                <w:noProof/>
              </w:rPr>
              <w:noBreakHyphen/>
              <w:t>compliance with conditions</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_Toc191384261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634336">
              <w:rPr>
                <w:rFonts w:ascii="Calibri Light" w:hAnsi="Calibri Light" w:cs="Calibri Light"/>
                <w:noProof/>
                <w:webHidden/>
              </w:rPr>
              <w:t>11</w:t>
            </w:r>
            <w:r w:rsidR="00C0233C" w:rsidRPr="00C0233C">
              <w:rPr>
                <w:rFonts w:ascii="Calibri Light" w:hAnsi="Calibri Light" w:cs="Calibri Light"/>
                <w:noProof/>
                <w:webHidden/>
              </w:rPr>
              <w:fldChar w:fldCharType="end"/>
            </w:r>
          </w:hyperlink>
        </w:p>
        <w:p w14:paraId="29F43279" w14:textId="4C24A6A8" w:rsidR="00C0233C" w:rsidRPr="00C0233C" w:rsidRDefault="00574B4A">
          <w:pPr>
            <w:pStyle w:val="TOC2"/>
            <w:rPr>
              <w:rFonts w:ascii="Calibri Light" w:eastAsiaTheme="minorEastAsia" w:hAnsi="Calibri Light" w:cs="Calibri Light"/>
              <w:noProof/>
              <w:kern w:val="2"/>
              <w:sz w:val="24"/>
              <w:szCs w:val="24"/>
              <w:lang w:eastAsia="en-AU"/>
              <w14:ligatures w14:val="standardContextual"/>
            </w:rPr>
          </w:pPr>
          <w:hyperlink w:anchor="_Toc191384262" w:history="1">
            <w:r w:rsidR="00C0233C" w:rsidRPr="00C0233C">
              <w:rPr>
                <w:rStyle w:val="Hyperlink"/>
                <w:rFonts w:ascii="Calibri Light" w:hAnsi="Calibri Light" w:cs="Calibri Light"/>
                <w:noProof/>
              </w:rPr>
              <w:t>G: Further information</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_Toc191384262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634336">
              <w:rPr>
                <w:rFonts w:ascii="Calibri Light" w:hAnsi="Calibri Light" w:cs="Calibri Light"/>
                <w:noProof/>
                <w:webHidden/>
              </w:rPr>
              <w:t>12</w:t>
            </w:r>
            <w:r w:rsidR="00C0233C" w:rsidRPr="00C0233C">
              <w:rPr>
                <w:rFonts w:ascii="Calibri Light" w:hAnsi="Calibri Light" w:cs="Calibri Light"/>
                <w:noProof/>
                <w:webHidden/>
              </w:rPr>
              <w:fldChar w:fldCharType="end"/>
            </w:r>
          </w:hyperlink>
        </w:p>
        <w:p w14:paraId="18410F9C" w14:textId="6C558D5B" w:rsidR="00C0233C" w:rsidRPr="00C0233C" w:rsidRDefault="00574B4A">
          <w:pPr>
            <w:pStyle w:val="TOC2"/>
            <w:rPr>
              <w:rFonts w:ascii="Calibri Light" w:eastAsiaTheme="minorEastAsia" w:hAnsi="Calibri Light" w:cs="Calibri Light"/>
              <w:noProof/>
              <w:kern w:val="2"/>
              <w:sz w:val="24"/>
              <w:szCs w:val="24"/>
              <w:lang w:eastAsia="en-AU"/>
              <w14:ligatures w14:val="standardContextual"/>
            </w:rPr>
          </w:pPr>
          <w:hyperlink w:anchor="_Toc191384263" w:history="1">
            <w:r w:rsidR="00C0233C" w:rsidRPr="00C0233C">
              <w:rPr>
                <w:rStyle w:val="Hyperlink"/>
                <w:rFonts w:ascii="Calibri Light" w:hAnsi="Calibri Light" w:cs="Calibri Light"/>
                <w:noProof/>
              </w:rPr>
              <w:t>H: Tax risk notification paragraphs</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_Toc191384263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634336">
              <w:rPr>
                <w:rFonts w:ascii="Calibri Light" w:hAnsi="Calibri Light" w:cs="Calibri Light"/>
                <w:noProof/>
                <w:webHidden/>
              </w:rPr>
              <w:t>13</w:t>
            </w:r>
            <w:r w:rsidR="00C0233C" w:rsidRPr="00C0233C">
              <w:rPr>
                <w:rFonts w:ascii="Calibri Light" w:hAnsi="Calibri Light" w:cs="Calibri Light"/>
                <w:noProof/>
                <w:webHidden/>
              </w:rPr>
              <w:fldChar w:fldCharType="end"/>
            </w:r>
          </w:hyperlink>
        </w:p>
        <w:p w14:paraId="13009F17" w14:textId="4DA7BC20" w:rsidR="00C0233C" w:rsidRPr="00C0233C" w:rsidRDefault="00574B4A">
          <w:pPr>
            <w:pStyle w:val="TOC2"/>
            <w:rPr>
              <w:rFonts w:ascii="Calibri Light" w:eastAsiaTheme="minorEastAsia" w:hAnsi="Calibri Light" w:cs="Calibri Light"/>
              <w:noProof/>
              <w:kern w:val="2"/>
              <w:sz w:val="24"/>
              <w:szCs w:val="24"/>
              <w:lang w:eastAsia="en-AU"/>
              <w14:ligatures w14:val="standardContextual"/>
            </w:rPr>
          </w:pPr>
          <w:hyperlink w:anchor="_Toc191384264" w:history="1">
            <w:r w:rsidR="00C0233C" w:rsidRPr="00C0233C">
              <w:rPr>
                <w:rStyle w:val="Hyperlink"/>
                <w:rFonts w:ascii="Calibri Light" w:hAnsi="Calibri Light" w:cs="Calibri Light"/>
                <w:noProof/>
              </w:rPr>
              <w:t>Further information</w:t>
            </w:r>
            <w:r w:rsidR="00C0233C" w:rsidRPr="00C0233C">
              <w:rPr>
                <w:rFonts w:ascii="Calibri Light" w:hAnsi="Calibri Light" w:cs="Calibri Light"/>
                <w:noProof/>
                <w:webHidden/>
              </w:rPr>
              <w:tab/>
            </w:r>
            <w:r w:rsidR="00C0233C" w:rsidRPr="00C0233C">
              <w:rPr>
                <w:rFonts w:ascii="Calibri Light" w:hAnsi="Calibri Light" w:cs="Calibri Light"/>
                <w:noProof/>
                <w:webHidden/>
              </w:rPr>
              <w:fldChar w:fldCharType="begin"/>
            </w:r>
            <w:r w:rsidR="00C0233C" w:rsidRPr="00C0233C">
              <w:rPr>
                <w:rFonts w:ascii="Calibri Light" w:hAnsi="Calibri Light" w:cs="Calibri Light"/>
                <w:noProof/>
                <w:webHidden/>
              </w:rPr>
              <w:instrText xml:space="preserve"> PAGEREF _Toc191384264 \h </w:instrText>
            </w:r>
            <w:r w:rsidR="00C0233C" w:rsidRPr="00C0233C">
              <w:rPr>
                <w:rFonts w:ascii="Calibri Light" w:hAnsi="Calibri Light" w:cs="Calibri Light"/>
                <w:noProof/>
                <w:webHidden/>
              </w:rPr>
            </w:r>
            <w:r w:rsidR="00C0233C" w:rsidRPr="00C0233C">
              <w:rPr>
                <w:rFonts w:ascii="Calibri Light" w:hAnsi="Calibri Light" w:cs="Calibri Light"/>
                <w:noProof/>
                <w:webHidden/>
              </w:rPr>
              <w:fldChar w:fldCharType="separate"/>
            </w:r>
            <w:r w:rsidR="00634336">
              <w:rPr>
                <w:rFonts w:ascii="Calibri Light" w:hAnsi="Calibri Light" w:cs="Calibri Light"/>
                <w:noProof/>
                <w:webHidden/>
              </w:rPr>
              <w:t>14</w:t>
            </w:r>
            <w:r w:rsidR="00C0233C" w:rsidRPr="00C0233C">
              <w:rPr>
                <w:rFonts w:ascii="Calibri Light" w:hAnsi="Calibri Light" w:cs="Calibri Light"/>
                <w:noProof/>
                <w:webHidden/>
              </w:rPr>
              <w:fldChar w:fldCharType="end"/>
            </w:r>
          </w:hyperlink>
        </w:p>
        <w:p w14:paraId="7205E081" w14:textId="19E3F529" w:rsidR="00136ED0" w:rsidRPr="00C15CD9" w:rsidRDefault="00136ED0" w:rsidP="00A60AFF">
          <w:pPr>
            <w:pStyle w:val="TOC2"/>
          </w:pPr>
          <w:r w:rsidRPr="001A7159">
            <w:fldChar w:fldCharType="end"/>
          </w:r>
        </w:p>
      </w:sdtContent>
    </w:sdt>
    <w:p w14:paraId="17A4C84D" w14:textId="77777777" w:rsidR="006B01E5" w:rsidRDefault="006B01E5">
      <w:pPr>
        <w:spacing w:before="0" w:after="0"/>
        <w:rPr>
          <w:rFonts w:ascii="Calibri" w:hAnsi="Calibri" w:cs="Arial"/>
          <w:iCs/>
          <w:color w:val="2C384A"/>
          <w:kern w:val="32"/>
          <w:sz w:val="36"/>
          <w:szCs w:val="28"/>
        </w:rPr>
      </w:pPr>
      <w:bookmarkStart w:id="3" w:name="_Toc75967409"/>
      <w:r>
        <w:br w:type="page"/>
      </w:r>
    </w:p>
    <w:p w14:paraId="3E7A8995" w14:textId="025B18D6" w:rsidR="00136ED0" w:rsidRPr="00C15CD9" w:rsidRDefault="00136ED0" w:rsidP="000F5D59">
      <w:pPr>
        <w:pStyle w:val="Heading2"/>
      </w:pPr>
      <w:bookmarkStart w:id="4" w:name="_Toc164179439"/>
      <w:bookmarkStart w:id="5" w:name="_Toc191384256"/>
      <w:r w:rsidRPr="00C15CD9">
        <w:lastRenderedPageBreak/>
        <w:t xml:space="preserve">A: </w:t>
      </w:r>
      <w:r w:rsidR="00726EF1">
        <w:t>Tax risk assessment</w:t>
      </w:r>
      <w:bookmarkEnd w:id="3"/>
      <w:bookmarkEnd w:id="4"/>
      <w:bookmarkEnd w:id="5"/>
    </w:p>
    <w:p w14:paraId="7DFCEF4B" w14:textId="57226983" w:rsidR="00136ED0" w:rsidRPr="008D5542" w:rsidRDefault="00726EF1" w:rsidP="000F5D59">
      <w:r>
        <w:t>Treasury and t</w:t>
      </w:r>
      <w:r w:rsidR="00136ED0" w:rsidRPr="00C15CD9">
        <w:t xml:space="preserve">he Australian Taxation Office (the </w:t>
      </w:r>
      <w:r w:rsidR="00136ED0" w:rsidRPr="00C15CD9">
        <w:rPr>
          <w:b/>
        </w:rPr>
        <w:t>ATO</w:t>
      </w:r>
      <w:r w:rsidR="00136ED0" w:rsidRPr="00C15CD9">
        <w:t xml:space="preserve">) </w:t>
      </w:r>
      <w:r>
        <w:t xml:space="preserve">work closely together to assess foreign </w:t>
      </w:r>
      <w:r w:rsidRPr="008D5542">
        <w:t xml:space="preserve">investment proposals and provide advice to the Treasurer. The ATO </w:t>
      </w:r>
      <w:r w:rsidR="00136ED0" w:rsidRPr="008D5542">
        <w:t xml:space="preserve">has a dedicated Tax Consult area that is consulted on foreign investment proposals to assist the Treasurer in </w:t>
      </w:r>
      <w:proofErr w:type="gramStart"/>
      <w:r w:rsidR="00136ED0" w:rsidRPr="008D5542">
        <w:t>making a decision</w:t>
      </w:r>
      <w:proofErr w:type="gramEnd"/>
      <w:r w:rsidR="00136ED0" w:rsidRPr="008D5542">
        <w:t xml:space="preserve"> as to whether an action is contrary to the national interest. </w:t>
      </w:r>
    </w:p>
    <w:p w14:paraId="6B750C1A" w14:textId="5E369C62" w:rsidR="00136ED0" w:rsidRPr="00C15CD9" w:rsidRDefault="00136ED0" w:rsidP="000F5D59">
      <w:r w:rsidRPr="008D5542">
        <w:t xml:space="preserve">Separately, the ATO also has a dedicated foreign investment screening team that administers the </w:t>
      </w:r>
      <w:r w:rsidRPr="008D5542">
        <w:rPr>
          <w:i/>
        </w:rPr>
        <w:t>Foreign Acquisitions and Takeovers Act 1975</w:t>
      </w:r>
      <w:r w:rsidRPr="008D5542">
        <w:t xml:space="preserve"> (the </w:t>
      </w:r>
      <w:r w:rsidRPr="008D5542">
        <w:rPr>
          <w:b/>
        </w:rPr>
        <w:t>Act</w:t>
      </w:r>
      <w:r w:rsidRPr="008D5542">
        <w:t xml:space="preserve">) with respect to screening of </w:t>
      </w:r>
      <w:r w:rsidR="00D214CF" w:rsidRPr="008D5542">
        <w:t xml:space="preserve">foreign investment proposals in </w:t>
      </w:r>
      <w:r w:rsidRPr="008D5542">
        <w:t>residential land. The ATO</w:t>
      </w:r>
      <w:r w:rsidR="000F5D59" w:rsidRPr="008D5542">
        <w:t>’</w:t>
      </w:r>
      <w:r w:rsidRPr="008D5542">
        <w:t xml:space="preserve">s foreign investment screening team </w:t>
      </w:r>
      <w:r w:rsidR="00266F87" w:rsidRPr="008D5542">
        <w:t xml:space="preserve">may </w:t>
      </w:r>
      <w:r w:rsidRPr="008D5542">
        <w:t xml:space="preserve">consult with the ATO Tax Consult area on these </w:t>
      </w:r>
      <w:r w:rsidR="00FF06E6" w:rsidRPr="008D5542">
        <w:t>proposals</w:t>
      </w:r>
      <w:r w:rsidR="001B1A1D" w:rsidRPr="008D5542">
        <w:t xml:space="preserve"> if considered necessary</w:t>
      </w:r>
      <w:r w:rsidRPr="008D5542">
        <w:t>. The ATO</w:t>
      </w:r>
      <w:r w:rsidR="000F5D59" w:rsidRPr="008D5542">
        <w:t>’</w:t>
      </w:r>
      <w:r w:rsidRPr="008D5542">
        <w:t>s foreign investment screening team is separate from the ATO</w:t>
      </w:r>
      <w:r w:rsidR="000F5D59" w:rsidRPr="008D5542">
        <w:t>’</w:t>
      </w:r>
      <w:r w:rsidRPr="008D5542">
        <w:t>s Tax Consult area with whom it consults.</w:t>
      </w:r>
    </w:p>
    <w:p w14:paraId="045E2507" w14:textId="34AD7A21" w:rsidR="00136ED0" w:rsidRPr="00C15CD9" w:rsidRDefault="00136ED0" w:rsidP="000F5D59">
      <w:r w:rsidRPr="00C15CD9">
        <w:t>The scope of the ATO</w:t>
      </w:r>
      <w:r w:rsidR="000F5D59">
        <w:t>’</w:t>
      </w:r>
      <w:r w:rsidRPr="00C15CD9">
        <w:t>s Tax Consult advice about an action is the potential impact on the Australian Government</w:t>
      </w:r>
      <w:r w:rsidR="000F5D59">
        <w:t>’</w:t>
      </w:r>
      <w:r w:rsidRPr="00C15CD9">
        <w:t xml:space="preserve">s tax revenues and the integrity of the federal tax system. The ATO Tax Consult advice provides a risk rating of </w:t>
      </w:r>
      <w:r w:rsidR="000F5D59">
        <w:t>‘</w:t>
      </w:r>
      <w:r w:rsidRPr="00C15CD9">
        <w:t>low</w:t>
      </w:r>
      <w:r w:rsidR="000F5D59">
        <w:t>’</w:t>
      </w:r>
      <w:r w:rsidRPr="00C15CD9">
        <w:t xml:space="preserve">, </w:t>
      </w:r>
      <w:r w:rsidR="000F5D59">
        <w:t>‘</w:t>
      </w:r>
      <w:r w:rsidRPr="00C15CD9">
        <w:t>medium</w:t>
      </w:r>
      <w:r w:rsidR="000F5D59">
        <w:t>’</w:t>
      </w:r>
      <w:r w:rsidRPr="00C15CD9">
        <w:t xml:space="preserve"> or </w:t>
      </w:r>
      <w:r w:rsidR="000F5D59">
        <w:t>‘</w:t>
      </w:r>
      <w:r w:rsidRPr="00C15CD9">
        <w:t>high</w:t>
      </w:r>
      <w:r w:rsidR="000F5D59">
        <w:t>’</w:t>
      </w:r>
      <w:r w:rsidRPr="00C15CD9">
        <w:t xml:space="preserve"> for each action along with qualitative advice on the risks to tax revenues and the integrity of the tax system </w:t>
      </w:r>
      <w:proofErr w:type="gramStart"/>
      <w:r w:rsidRPr="00C15CD9">
        <w:t>as a result of</w:t>
      </w:r>
      <w:proofErr w:type="gramEnd"/>
      <w:r w:rsidRPr="00C15CD9">
        <w:t xml:space="preserve"> the action. The following risk rating definitions are adopted: </w:t>
      </w:r>
    </w:p>
    <w:p w14:paraId="2ABF4075" w14:textId="77777777" w:rsidR="00136ED0" w:rsidRPr="00C15CD9" w:rsidRDefault="00136ED0" w:rsidP="000F5D59">
      <w:pPr>
        <w:pStyle w:val="Bullet"/>
      </w:pPr>
      <w:r w:rsidRPr="00D665E8">
        <w:rPr>
          <w:u w:val="single"/>
        </w:rPr>
        <w:t>Low</w:t>
      </w:r>
      <w:r w:rsidRPr="00C15CD9">
        <w:t xml:space="preserve">: the ATO has not identified significant tax </w:t>
      </w:r>
      <w:r w:rsidRPr="000F5D59">
        <w:t>issues</w:t>
      </w:r>
      <w:r w:rsidRPr="00C15CD9">
        <w:t>.</w:t>
      </w:r>
    </w:p>
    <w:p w14:paraId="061883DA" w14:textId="77777777" w:rsidR="00136ED0" w:rsidRPr="00C15CD9" w:rsidRDefault="00136ED0" w:rsidP="000F5D59">
      <w:pPr>
        <w:pStyle w:val="Bullet"/>
      </w:pPr>
      <w:r w:rsidRPr="00D665E8">
        <w:rPr>
          <w:u w:val="single"/>
        </w:rPr>
        <w:t>Medium</w:t>
      </w:r>
      <w:r w:rsidRPr="00C15CD9">
        <w:t xml:space="preserve">: there may be a risk to tax revenue or to the integrity of the tax </w:t>
      </w:r>
      <w:r w:rsidRPr="000F5D59">
        <w:t>system</w:t>
      </w:r>
      <w:r w:rsidRPr="00C15CD9">
        <w:t>.</w:t>
      </w:r>
    </w:p>
    <w:p w14:paraId="7586F046" w14:textId="77777777" w:rsidR="00136ED0" w:rsidRPr="00C15CD9" w:rsidRDefault="00136ED0" w:rsidP="000F5D59">
      <w:pPr>
        <w:pStyle w:val="Bullet"/>
        <w:rPr>
          <w:b/>
        </w:rPr>
      </w:pPr>
      <w:r w:rsidRPr="00D665E8">
        <w:rPr>
          <w:u w:val="single"/>
        </w:rPr>
        <w:t>High</w:t>
      </w:r>
      <w:r w:rsidRPr="00C15CD9">
        <w:t xml:space="preserve">: there is a clear risk to tax revenue or to the integrity of the tax </w:t>
      </w:r>
      <w:r w:rsidRPr="000F5D59">
        <w:t>system</w:t>
      </w:r>
      <w:r w:rsidRPr="00C15CD9">
        <w:t xml:space="preserve">. </w:t>
      </w:r>
    </w:p>
    <w:p w14:paraId="54BCA277" w14:textId="1AE3AAC0" w:rsidR="00136ED0" w:rsidRPr="00C15CD9" w:rsidRDefault="00136ED0" w:rsidP="000F5D59">
      <w:r w:rsidRPr="00C15CD9">
        <w:t xml:space="preserve">One distinguishing factor between risk ratings of </w:t>
      </w:r>
      <w:r w:rsidR="000F5D59">
        <w:t>‘</w:t>
      </w:r>
      <w:r w:rsidRPr="00C15CD9">
        <w:t>medium</w:t>
      </w:r>
      <w:r w:rsidR="000F5D59">
        <w:t>’</w:t>
      </w:r>
      <w:r w:rsidRPr="00C15CD9">
        <w:t xml:space="preserve"> or </w:t>
      </w:r>
      <w:r w:rsidR="000F5D59">
        <w:t>‘</w:t>
      </w:r>
      <w:r w:rsidRPr="00C15CD9">
        <w:t>high</w:t>
      </w:r>
      <w:r w:rsidR="000F5D59">
        <w:t>’</w:t>
      </w:r>
      <w:r w:rsidRPr="00C15CD9">
        <w:t xml:space="preserve"> is the likelihood of the outcome occurring</w:t>
      </w:r>
      <w:r w:rsidR="000F5D59">
        <w:t xml:space="preserve">. </w:t>
      </w:r>
      <w:r w:rsidRPr="00C15CD9">
        <w:t xml:space="preserve">High risk ratings indicate that the estimated tax consequence of the action is </w:t>
      </w:r>
      <w:r w:rsidR="000F5D59">
        <w:t>‘</w:t>
      </w:r>
      <w:r w:rsidRPr="00C15CD9">
        <w:t>likely</w:t>
      </w:r>
      <w:r w:rsidR="000F5D59">
        <w:t>’</w:t>
      </w:r>
      <w:r w:rsidRPr="00C15CD9">
        <w:t xml:space="preserve"> to occur rather than it being just </w:t>
      </w:r>
      <w:r w:rsidR="000F5D59">
        <w:t>‘</w:t>
      </w:r>
      <w:r w:rsidRPr="00C15CD9">
        <w:t>possible</w:t>
      </w:r>
      <w:r w:rsidR="000F5D59">
        <w:t>’</w:t>
      </w:r>
      <w:r w:rsidRPr="00C15CD9">
        <w:t>.</w:t>
      </w:r>
    </w:p>
    <w:p w14:paraId="0BFF1D76" w14:textId="60D6F7F8" w:rsidR="000D4A80" w:rsidRDefault="00136ED0" w:rsidP="000F5D59">
      <w:r w:rsidRPr="00C15CD9">
        <w:t xml:space="preserve">The ATO may assess an action that involves complex structuring (such as layered trusts or the use of holding entities in </w:t>
      </w:r>
      <w:r w:rsidR="000D4A80">
        <w:t>low</w:t>
      </w:r>
      <w:r w:rsidR="0096656A">
        <w:t xml:space="preserve"> or no</w:t>
      </w:r>
      <w:r w:rsidR="000D4A80">
        <w:t xml:space="preserve"> tax jurisdictions</w:t>
      </w:r>
      <w:r w:rsidRPr="00C15CD9">
        <w:t>) as low risk if that structuring does not create Australian tax issues of concern.</w:t>
      </w:r>
    </w:p>
    <w:p w14:paraId="6E9C7202" w14:textId="2E2B1446" w:rsidR="00723745" w:rsidRDefault="000D4A80" w:rsidP="00723745">
      <w:r>
        <w:t>The ATO’s Tax Consult advice is confidential to Treasury</w:t>
      </w:r>
      <w:r w:rsidR="00ED6094">
        <w:t>. A</w:t>
      </w:r>
      <w:r w:rsidR="00723745">
        <w:t xml:space="preserve">pplicants who are proposing to </w:t>
      </w:r>
      <w:r w:rsidR="009566A6">
        <w:t xml:space="preserve">take an action(s) </w:t>
      </w:r>
      <w:r w:rsidR="00723745">
        <w:t xml:space="preserve">assessed as High risk </w:t>
      </w:r>
      <w:r w:rsidR="00CD3DC1">
        <w:t>will generally</w:t>
      </w:r>
      <w:r w:rsidR="00723745">
        <w:t xml:space="preserve"> be: </w:t>
      </w:r>
    </w:p>
    <w:p w14:paraId="30E9D99D" w14:textId="456608D1" w:rsidR="00AA7CA5" w:rsidRDefault="001370C9" w:rsidP="00723745">
      <w:pPr>
        <w:pStyle w:val="Bullet"/>
      </w:pPr>
      <w:r>
        <w:t>N</w:t>
      </w:r>
      <w:r w:rsidR="00723745">
        <w:t xml:space="preserve">otified of their High risk </w:t>
      </w:r>
      <w:proofErr w:type="gramStart"/>
      <w:r w:rsidR="00723745">
        <w:t>rating;</w:t>
      </w:r>
      <w:proofErr w:type="gramEnd"/>
      <w:r w:rsidR="00723745">
        <w:t xml:space="preserve"> </w:t>
      </w:r>
    </w:p>
    <w:p w14:paraId="02CEA6E6" w14:textId="609B2381" w:rsidR="00723745" w:rsidRDefault="001370C9" w:rsidP="00723745">
      <w:pPr>
        <w:pStyle w:val="Bullet"/>
      </w:pPr>
      <w:r>
        <w:t>S</w:t>
      </w:r>
      <w:r w:rsidR="00AA7CA5">
        <w:t xml:space="preserve">ubject to tax conditions; </w:t>
      </w:r>
      <w:r w:rsidR="00CD3DC1">
        <w:t>and/</w:t>
      </w:r>
      <w:r w:rsidR="00723745">
        <w:t xml:space="preserve">or </w:t>
      </w:r>
    </w:p>
    <w:p w14:paraId="4CE575E2" w14:textId="783F1885" w:rsidR="00723745" w:rsidRDefault="001370C9" w:rsidP="00723745">
      <w:pPr>
        <w:pStyle w:val="Bullet"/>
      </w:pPr>
      <w:r>
        <w:t>S</w:t>
      </w:r>
      <w:r w:rsidR="00723745">
        <w:t>ubject to follow up or review by the ATO following completion of any proposed ac</w:t>
      </w:r>
      <w:r w:rsidR="004420ED">
        <w:t>tion</w:t>
      </w:r>
      <w:r w:rsidR="00723745">
        <w:t xml:space="preserve">(s). </w:t>
      </w:r>
    </w:p>
    <w:p w14:paraId="63B1A4F1" w14:textId="739E0FFA" w:rsidR="00136ED0" w:rsidRPr="00C15CD9" w:rsidRDefault="00136ED0" w:rsidP="000F5D59"/>
    <w:p w14:paraId="0D74E1EE" w14:textId="77777777" w:rsidR="006D0B1D" w:rsidRDefault="006D0B1D">
      <w:pPr>
        <w:spacing w:before="0" w:after="0"/>
        <w:rPr>
          <w:rFonts w:ascii="Calibri" w:hAnsi="Calibri" w:cs="Arial"/>
          <w:iCs/>
          <w:color w:val="2C384A"/>
          <w:kern w:val="32"/>
          <w:sz w:val="36"/>
          <w:szCs w:val="28"/>
        </w:rPr>
      </w:pPr>
      <w:bookmarkStart w:id="6" w:name="_Toc75967410"/>
      <w:r>
        <w:br w:type="page"/>
      </w:r>
    </w:p>
    <w:p w14:paraId="3111991A" w14:textId="08284F3F" w:rsidR="00136ED0" w:rsidRPr="00C15CD9" w:rsidRDefault="00136ED0" w:rsidP="000F5D59">
      <w:pPr>
        <w:pStyle w:val="Heading2"/>
      </w:pPr>
      <w:bookmarkStart w:id="7" w:name="_Toc164179440"/>
      <w:bookmarkStart w:id="8" w:name="_Toc191384257"/>
      <w:r w:rsidRPr="00C15CD9">
        <w:lastRenderedPageBreak/>
        <w:t>B: Summary of tax issues</w:t>
      </w:r>
      <w:bookmarkEnd w:id="6"/>
      <w:bookmarkEnd w:id="7"/>
      <w:bookmarkEnd w:id="8"/>
      <w:r w:rsidRPr="00C15CD9">
        <w:t xml:space="preserve"> </w:t>
      </w:r>
    </w:p>
    <w:p w14:paraId="0B2B5556" w14:textId="34794AE1" w:rsidR="00136ED0" w:rsidRPr="00C15CD9" w:rsidRDefault="00136ED0" w:rsidP="000F5D59">
      <w:r w:rsidRPr="00C15CD9">
        <w:t>The ATO</w:t>
      </w:r>
      <w:r w:rsidR="000F5D59">
        <w:t>’</w:t>
      </w:r>
      <w:r w:rsidRPr="00C15CD9">
        <w:t xml:space="preserve">s advice to the Treasurer and risk rating may reflect a broad range of matters including: </w:t>
      </w:r>
    </w:p>
    <w:p w14:paraId="18758462" w14:textId="77777777" w:rsidR="00136ED0" w:rsidRPr="00C15CD9" w:rsidRDefault="00136ED0" w:rsidP="000F5D59">
      <w:pPr>
        <w:pStyle w:val="Bullet"/>
      </w:pPr>
      <w:r w:rsidRPr="00C15CD9">
        <w:t xml:space="preserve">Compliance with the substantive tax </w:t>
      </w:r>
      <w:proofErr w:type="gramStart"/>
      <w:r w:rsidRPr="00C15CD9">
        <w:t>law;</w:t>
      </w:r>
      <w:proofErr w:type="gramEnd"/>
    </w:p>
    <w:p w14:paraId="6F6469A8" w14:textId="77777777" w:rsidR="00136ED0" w:rsidRPr="00C15CD9" w:rsidRDefault="00136ED0" w:rsidP="000F5D59">
      <w:pPr>
        <w:pStyle w:val="Bullet"/>
      </w:pPr>
      <w:r w:rsidRPr="00C15CD9">
        <w:t xml:space="preserve">The tax compliance history of the investor and its </w:t>
      </w:r>
      <w:r w:rsidRPr="000F5D59">
        <w:t>related</w:t>
      </w:r>
      <w:r w:rsidRPr="00C15CD9">
        <w:t xml:space="preserve"> </w:t>
      </w:r>
      <w:proofErr w:type="gramStart"/>
      <w:r w:rsidRPr="00C15CD9">
        <w:t>parties;</w:t>
      </w:r>
      <w:proofErr w:type="gramEnd"/>
    </w:p>
    <w:p w14:paraId="7A364BDD" w14:textId="22DA7A3E" w:rsidR="00136ED0" w:rsidRPr="00C15CD9" w:rsidRDefault="00136ED0" w:rsidP="000F5D59">
      <w:pPr>
        <w:pStyle w:val="Bullet"/>
      </w:pPr>
      <w:r w:rsidRPr="00C15CD9">
        <w:t>The transparency of the investor</w:t>
      </w:r>
      <w:r w:rsidR="000F5D59">
        <w:t>’</w:t>
      </w:r>
      <w:r w:rsidRPr="00C15CD9">
        <w:t xml:space="preserve">s </w:t>
      </w:r>
      <w:r w:rsidRPr="000F5D59">
        <w:t>engagement</w:t>
      </w:r>
      <w:r w:rsidRPr="00C15CD9">
        <w:t xml:space="preserve"> with the </w:t>
      </w:r>
      <w:proofErr w:type="gramStart"/>
      <w:r w:rsidRPr="00C15CD9">
        <w:t>ATO;</w:t>
      </w:r>
      <w:proofErr w:type="gramEnd"/>
      <w:r w:rsidRPr="00C15CD9">
        <w:t xml:space="preserve"> </w:t>
      </w:r>
    </w:p>
    <w:p w14:paraId="1009449D" w14:textId="77777777" w:rsidR="00136ED0" w:rsidRPr="00C15CD9" w:rsidRDefault="00136ED0" w:rsidP="000F5D59">
      <w:pPr>
        <w:pStyle w:val="Bullet"/>
      </w:pPr>
      <w:r w:rsidRPr="00C15CD9">
        <w:t xml:space="preserve">The choices and behaviours that the investor </w:t>
      </w:r>
      <w:proofErr w:type="gramStart"/>
      <w:r w:rsidRPr="00C15CD9">
        <w:t>evidences</w:t>
      </w:r>
      <w:proofErr w:type="gramEnd"/>
      <w:r w:rsidRPr="00C15CD9">
        <w:t xml:space="preserve"> in their tax affairs;</w:t>
      </w:r>
    </w:p>
    <w:p w14:paraId="4E9A0118" w14:textId="449F82FC" w:rsidR="00136ED0" w:rsidRPr="00C15CD9" w:rsidRDefault="00136ED0" w:rsidP="000F5D59">
      <w:pPr>
        <w:pStyle w:val="Bullet"/>
      </w:pPr>
      <w:r w:rsidRPr="00C15CD9">
        <w:t xml:space="preserve">Potential </w:t>
      </w:r>
      <w:r w:rsidRPr="00170B42">
        <w:t>application</w:t>
      </w:r>
      <w:r w:rsidRPr="00C15CD9">
        <w:t xml:space="preserve"> of the general anti</w:t>
      </w:r>
      <w:r w:rsidR="000F5D59">
        <w:noBreakHyphen/>
      </w:r>
      <w:r w:rsidRPr="00C15CD9">
        <w:t xml:space="preserve">avoidance rule and the Diverted </w:t>
      </w:r>
      <w:r w:rsidRPr="000F5D59">
        <w:t>Profits</w:t>
      </w:r>
      <w:r w:rsidRPr="00C15CD9">
        <w:t xml:space="preserve"> </w:t>
      </w:r>
      <w:proofErr w:type="gramStart"/>
      <w:r w:rsidRPr="00C15CD9">
        <w:t>Tax;</w:t>
      </w:r>
      <w:proofErr w:type="gramEnd"/>
    </w:p>
    <w:p w14:paraId="0528C931" w14:textId="77777777" w:rsidR="00136ED0" w:rsidRPr="00C15CD9" w:rsidRDefault="00136ED0" w:rsidP="000F5D59">
      <w:pPr>
        <w:pStyle w:val="Bullet"/>
      </w:pPr>
      <w:r w:rsidRPr="00C15CD9">
        <w:t xml:space="preserve">Tax outcomes that are inconsistent with the policy </w:t>
      </w:r>
      <w:r w:rsidRPr="000F5D59">
        <w:t>intent</w:t>
      </w:r>
      <w:r w:rsidRPr="00C15CD9">
        <w:t xml:space="preserve"> of tax </w:t>
      </w:r>
      <w:proofErr w:type="gramStart"/>
      <w:r w:rsidRPr="00C15CD9">
        <w:t>laws;</w:t>
      </w:r>
      <w:proofErr w:type="gramEnd"/>
    </w:p>
    <w:p w14:paraId="08BB1D9E" w14:textId="77777777" w:rsidR="00136ED0" w:rsidRPr="009D79EB" w:rsidRDefault="00136ED0" w:rsidP="000F5D59">
      <w:pPr>
        <w:pStyle w:val="Bullet"/>
      </w:pPr>
      <w:r w:rsidRPr="00C15CD9">
        <w:t xml:space="preserve">Maintaining the integrity of </w:t>
      </w:r>
      <w:r w:rsidRPr="009D79EB">
        <w:t xml:space="preserve">the tax </w:t>
      </w:r>
      <w:proofErr w:type="gramStart"/>
      <w:r w:rsidRPr="009D79EB">
        <w:t>regime;</w:t>
      </w:r>
      <w:proofErr w:type="gramEnd"/>
    </w:p>
    <w:p w14:paraId="37F92777" w14:textId="77777777" w:rsidR="00CC6089" w:rsidRDefault="00136ED0" w:rsidP="000F5D59">
      <w:pPr>
        <w:pStyle w:val="Bullet"/>
      </w:pPr>
      <w:r w:rsidRPr="009D79EB">
        <w:t xml:space="preserve">Related or earlier actions undertaken that are relevant to the consideration of the </w:t>
      </w:r>
      <w:proofErr w:type="gramStart"/>
      <w:r w:rsidRPr="009D79EB">
        <w:t>proposal;</w:t>
      </w:r>
      <w:proofErr w:type="gramEnd"/>
      <w:r w:rsidRPr="009D79EB">
        <w:t> </w:t>
      </w:r>
    </w:p>
    <w:p w14:paraId="0D6BEE73" w14:textId="7423F9F5" w:rsidR="00136ED0" w:rsidRPr="009D79EB" w:rsidRDefault="00CC6089" w:rsidP="000F5D59">
      <w:pPr>
        <w:pStyle w:val="Bullet"/>
      </w:pPr>
      <w:r>
        <w:t>Tax collection risk on disposal by the investor or vendor</w:t>
      </w:r>
      <w:r w:rsidR="00AD42AB">
        <w:t xml:space="preserve">; </w:t>
      </w:r>
      <w:r w:rsidR="00136ED0" w:rsidRPr="009D79EB">
        <w:t>and</w:t>
      </w:r>
    </w:p>
    <w:p w14:paraId="00A7602A" w14:textId="3436EDD0" w:rsidR="00136ED0" w:rsidRPr="009D79EB" w:rsidRDefault="00136ED0" w:rsidP="000F5D59">
      <w:pPr>
        <w:pStyle w:val="Bullet"/>
      </w:pPr>
      <w:r w:rsidRPr="009D79EB">
        <w:t>Whether the arrangement has features of concern, or is within high</w:t>
      </w:r>
      <w:r w:rsidR="00B85FDC" w:rsidRPr="009D79EB">
        <w:t>-</w:t>
      </w:r>
      <w:r w:rsidRPr="009D79EB">
        <w:t xml:space="preserve">risk parameters identified by the ATO in guidance material including, but not limited to: </w:t>
      </w:r>
    </w:p>
    <w:p w14:paraId="3020C915" w14:textId="77777777" w:rsidR="00136ED0" w:rsidRPr="009D79EB" w:rsidRDefault="00136ED0" w:rsidP="004843A8">
      <w:pPr>
        <w:pStyle w:val="Bullet"/>
        <w:numPr>
          <w:ilvl w:val="1"/>
          <w:numId w:val="3"/>
        </w:numPr>
      </w:pPr>
      <w:r w:rsidRPr="009D79EB">
        <w:t xml:space="preserve">Taxpayer </w:t>
      </w:r>
      <w:proofErr w:type="gramStart"/>
      <w:r w:rsidRPr="009D79EB">
        <w:t>Alerts;</w:t>
      </w:r>
      <w:proofErr w:type="gramEnd"/>
    </w:p>
    <w:p w14:paraId="74CEE958" w14:textId="77777777" w:rsidR="00136ED0" w:rsidRPr="009D79EB" w:rsidRDefault="00136ED0" w:rsidP="004843A8">
      <w:pPr>
        <w:pStyle w:val="Bullet"/>
        <w:numPr>
          <w:ilvl w:val="1"/>
          <w:numId w:val="3"/>
        </w:numPr>
      </w:pPr>
      <w:r w:rsidRPr="009D79EB">
        <w:t xml:space="preserve">Practical Compliance </w:t>
      </w:r>
      <w:proofErr w:type="gramStart"/>
      <w:r w:rsidRPr="009D79EB">
        <w:t>Guides;</w:t>
      </w:r>
      <w:proofErr w:type="gramEnd"/>
    </w:p>
    <w:p w14:paraId="225B26DC" w14:textId="77777777" w:rsidR="00136ED0" w:rsidRPr="009D79EB" w:rsidRDefault="00136ED0" w:rsidP="004843A8">
      <w:pPr>
        <w:pStyle w:val="Bullet"/>
        <w:numPr>
          <w:ilvl w:val="1"/>
          <w:numId w:val="3"/>
        </w:numPr>
      </w:pPr>
      <w:r w:rsidRPr="009D79EB">
        <w:t>ATO Interpretative Decisions; and</w:t>
      </w:r>
    </w:p>
    <w:p w14:paraId="1DEE96B2" w14:textId="77777777" w:rsidR="00136ED0" w:rsidRPr="009D79EB" w:rsidRDefault="00136ED0" w:rsidP="004843A8">
      <w:pPr>
        <w:pStyle w:val="Bullet"/>
        <w:numPr>
          <w:ilvl w:val="1"/>
          <w:numId w:val="3"/>
        </w:numPr>
      </w:pPr>
      <w:r w:rsidRPr="009D79EB">
        <w:t>Tax Rulings.</w:t>
      </w:r>
    </w:p>
    <w:p w14:paraId="6517FD28" w14:textId="142C04D4" w:rsidR="00136ED0" w:rsidRPr="009D79EB" w:rsidRDefault="00136ED0" w:rsidP="005A05AF">
      <w:r w:rsidRPr="009D79EB">
        <w:t>The ATO</w:t>
      </w:r>
      <w:r w:rsidR="000F5D59" w:rsidRPr="009D79EB">
        <w:t>’</w:t>
      </w:r>
      <w:r w:rsidRPr="009D79EB">
        <w:t xml:space="preserve">s </w:t>
      </w:r>
      <w:hyperlink r:id="rId7" w:anchor="Law" w:history="1">
        <w:r w:rsidRPr="009D79EB">
          <w:rPr>
            <w:rStyle w:val="Hyperlink"/>
          </w:rPr>
          <w:t>legal database</w:t>
        </w:r>
      </w:hyperlink>
      <w:r w:rsidRPr="009D79EB">
        <w:t xml:space="preserve"> sets out a complete list of public guidance.</w:t>
      </w:r>
    </w:p>
    <w:p w14:paraId="099B5167" w14:textId="16CB9AA3" w:rsidR="00723745" w:rsidRPr="009D79EB" w:rsidRDefault="00D959BD" w:rsidP="00723745">
      <w:pPr>
        <w:pStyle w:val="Heading3"/>
      </w:pPr>
      <w:r w:rsidRPr="009D79EB">
        <w:t>Specific tax issues of interest</w:t>
      </w:r>
    </w:p>
    <w:p w14:paraId="268E9A9C" w14:textId="38616325" w:rsidR="00723745" w:rsidRDefault="00D959BD" w:rsidP="00723745">
      <w:pPr>
        <w:pStyle w:val="Bullet"/>
        <w:numPr>
          <w:ilvl w:val="0"/>
          <w:numId w:val="0"/>
        </w:numPr>
      </w:pPr>
      <w:r w:rsidRPr="009D79EB">
        <w:t xml:space="preserve">Additional scrutiny will be applied to foreign investment </w:t>
      </w:r>
      <w:r w:rsidR="00325646" w:rsidRPr="009D79EB">
        <w:t>proposals</w:t>
      </w:r>
      <w:r w:rsidRPr="009D79EB">
        <w:t xml:space="preserve"> with certain tax</w:t>
      </w:r>
      <w:r w:rsidR="00EE2242" w:rsidRPr="009D79EB">
        <w:t xml:space="preserve"> </w:t>
      </w:r>
      <w:r w:rsidRPr="009D79EB">
        <w:t xml:space="preserve">characteristics likely to be considered higher risk. </w:t>
      </w:r>
      <w:r w:rsidR="00723745" w:rsidRPr="009D79EB">
        <w:t xml:space="preserve">The following </w:t>
      </w:r>
      <w:r w:rsidR="00CA4712" w:rsidRPr="009D79EB">
        <w:t>are</w:t>
      </w:r>
      <w:r w:rsidR="00723745" w:rsidRPr="009D79EB">
        <w:t xml:space="preserve"> examples of arrangements that will attract the ATO’s attention</w:t>
      </w:r>
      <w:r w:rsidR="00723745">
        <w:t>:</w:t>
      </w:r>
    </w:p>
    <w:p w14:paraId="3DC8FF48" w14:textId="24E46190" w:rsidR="00A6237F" w:rsidRPr="00CE014F" w:rsidRDefault="00A6237F" w:rsidP="00A6237F">
      <w:pPr>
        <w:pStyle w:val="Bullet"/>
      </w:pPr>
      <w:r w:rsidRPr="00CE014F">
        <w:t>Internal reorganisations or other intragroup transactions which may represent initial steps of a planned Australian tax avoidance arrangement, for example: </w:t>
      </w:r>
    </w:p>
    <w:p w14:paraId="62F63310" w14:textId="1A13DF15" w:rsidR="00A6237F" w:rsidRPr="00CE014F" w:rsidRDefault="00A6237F" w:rsidP="00A6237F">
      <w:pPr>
        <w:pStyle w:val="Bullet"/>
        <w:numPr>
          <w:ilvl w:val="1"/>
          <w:numId w:val="3"/>
        </w:numPr>
      </w:pPr>
      <w:r w:rsidRPr="00CE014F">
        <w:t xml:space="preserve">Inversions </w:t>
      </w:r>
      <w:r w:rsidR="00723745">
        <w:t xml:space="preserve">designed to facilitate </w:t>
      </w:r>
      <w:r w:rsidRPr="00CE014F">
        <w:t>subsequent profit shifting</w:t>
      </w:r>
      <w:r w:rsidR="00E3195F">
        <w:t>.</w:t>
      </w:r>
      <w:r w:rsidRPr="00CE014F">
        <w:t> </w:t>
      </w:r>
    </w:p>
    <w:p w14:paraId="1A11D8B6" w14:textId="0B2562E1" w:rsidR="00A6237F" w:rsidRDefault="00A6237F" w:rsidP="00A6237F">
      <w:pPr>
        <w:pStyle w:val="Bullet"/>
        <w:numPr>
          <w:ilvl w:val="1"/>
          <w:numId w:val="3"/>
        </w:numPr>
      </w:pPr>
      <w:r w:rsidRPr="00CE014F">
        <w:t xml:space="preserve">Avoidance of capital gains tax </w:t>
      </w:r>
      <w:r w:rsidR="00723745">
        <w:t>by contrived use of</w:t>
      </w:r>
      <w:r w:rsidRPr="00CE014F">
        <w:t xml:space="preserve"> the multiple entry consolidated group rules. </w:t>
      </w:r>
    </w:p>
    <w:p w14:paraId="374408ED" w14:textId="45B587DD" w:rsidR="00723745" w:rsidRDefault="00723745" w:rsidP="00723745">
      <w:pPr>
        <w:pStyle w:val="Bullet"/>
        <w:numPr>
          <w:ilvl w:val="1"/>
          <w:numId w:val="3"/>
        </w:numPr>
      </w:pPr>
      <w:r>
        <w:t>Debt creation in connection with funding related party transactions</w:t>
      </w:r>
      <w:r w:rsidR="001B51CE">
        <w:t xml:space="preserve"> (noting </w:t>
      </w:r>
      <w:r w:rsidR="00A6148B">
        <w:t xml:space="preserve">possible interactions with </w:t>
      </w:r>
      <w:r w:rsidR="001B51CE">
        <w:t>Australia’s thin capitalisation rules)</w:t>
      </w:r>
      <w:r>
        <w:t>.</w:t>
      </w:r>
    </w:p>
    <w:p w14:paraId="48173CB8" w14:textId="77777777" w:rsidR="00723745" w:rsidRDefault="00723745" w:rsidP="00723745">
      <w:pPr>
        <w:pStyle w:val="Bullet"/>
        <w:numPr>
          <w:ilvl w:val="1"/>
          <w:numId w:val="3"/>
        </w:numPr>
      </w:pPr>
      <w:r>
        <w:t xml:space="preserve">Migration of intangibles designed to reduce or avoid Australian taxable income and or reduce royalty withholding tax. </w:t>
      </w:r>
    </w:p>
    <w:p w14:paraId="3E8149C4" w14:textId="77777777" w:rsidR="00723745" w:rsidRDefault="00723745" w:rsidP="00723745">
      <w:pPr>
        <w:pStyle w:val="Bullet"/>
        <w:numPr>
          <w:ilvl w:val="1"/>
          <w:numId w:val="3"/>
        </w:numPr>
      </w:pPr>
      <w:r>
        <w:t xml:space="preserve">Structuring designed to avoid income being attributable to an Australian permanent establishment. </w:t>
      </w:r>
    </w:p>
    <w:p w14:paraId="567B9859" w14:textId="344EFC73" w:rsidR="00723745" w:rsidRDefault="00F20542" w:rsidP="00723745">
      <w:pPr>
        <w:pStyle w:val="Bullet"/>
        <w:numPr>
          <w:ilvl w:val="1"/>
          <w:numId w:val="3"/>
        </w:numPr>
      </w:pPr>
      <w:r>
        <w:lastRenderedPageBreak/>
        <w:t>Structur</w:t>
      </w:r>
      <w:r w:rsidR="0012684B">
        <w:t>ing</w:t>
      </w:r>
      <w:r>
        <w:t xml:space="preserve"> arrangements </w:t>
      </w:r>
      <w:proofErr w:type="gramStart"/>
      <w:r>
        <w:t>in order to</w:t>
      </w:r>
      <w:proofErr w:type="gramEnd"/>
      <w:r>
        <w:t xml:space="preserve"> obtain the benefit of a reduced withholding tax rate</w:t>
      </w:r>
      <w:r w:rsidR="00723745">
        <w:t xml:space="preserve">. </w:t>
      </w:r>
    </w:p>
    <w:p w14:paraId="116F1DA8" w14:textId="73B1076E" w:rsidR="00723745" w:rsidRPr="006716A0" w:rsidRDefault="00CC0D3E" w:rsidP="00723745">
      <w:pPr>
        <w:pStyle w:val="Bullet"/>
        <w:rPr>
          <w:b/>
        </w:rPr>
      </w:pPr>
      <w:r>
        <w:rPr>
          <w:bCs/>
        </w:rPr>
        <w:t>R</w:t>
      </w:r>
      <w:r w:rsidR="00723745">
        <w:rPr>
          <w:bCs/>
        </w:rPr>
        <w:t xml:space="preserve">elated party financing arrangements </w:t>
      </w:r>
      <w:r w:rsidR="00A24B5B">
        <w:rPr>
          <w:bCs/>
        </w:rPr>
        <w:t>that</w:t>
      </w:r>
      <w:r w:rsidR="00723745">
        <w:rPr>
          <w:bCs/>
        </w:rPr>
        <w:t xml:space="preserve">: </w:t>
      </w:r>
    </w:p>
    <w:p w14:paraId="6ED17F75" w14:textId="77777777" w:rsidR="00723745" w:rsidRPr="006716A0" w:rsidRDefault="00723745" w:rsidP="00723745">
      <w:pPr>
        <w:pStyle w:val="Bullet"/>
        <w:numPr>
          <w:ilvl w:val="1"/>
          <w:numId w:val="3"/>
        </w:numPr>
        <w:rPr>
          <w:b/>
        </w:rPr>
      </w:pPr>
      <w:r>
        <w:rPr>
          <w:bCs/>
        </w:rPr>
        <w:t xml:space="preserve">Artificially defer or avoid interest withholding tax while obtaining annual Australian income tax deductions. </w:t>
      </w:r>
    </w:p>
    <w:p w14:paraId="7613AC01" w14:textId="3A1F884D" w:rsidR="00723745" w:rsidRPr="005224A4" w:rsidRDefault="00723745" w:rsidP="00723745">
      <w:pPr>
        <w:pStyle w:val="Bullet"/>
        <w:numPr>
          <w:ilvl w:val="1"/>
          <w:numId w:val="3"/>
        </w:numPr>
        <w:rPr>
          <w:b/>
        </w:rPr>
      </w:pPr>
      <w:r>
        <w:rPr>
          <w:bCs/>
        </w:rPr>
        <w:t>Avoid or reduce dividend withholding tax upon repayment/redemption of related party financing arrangements</w:t>
      </w:r>
      <w:r w:rsidR="00E3195F">
        <w:rPr>
          <w:bCs/>
        </w:rPr>
        <w:t>.</w:t>
      </w:r>
      <w:r>
        <w:rPr>
          <w:bCs/>
        </w:rPr>
        <w:t xml:space="preserve"> </w:t>
      </w:r>
    </w:p>
    <w:p w14:paraId="6DD79DCF" w14:textId="5F1253B1" w:rsidR="005224A4" w:rsidRPr="005224A4" w:rsidRDefault="005224A4" w:rsidP="005224A4">
      <w:pPr>
        <w:pStyle w:val="Bullet"/>
        <w:numPr>
          <w:ilvl w:val="1"/>
          <w:numId w:val="3"/>
        </w:numPr>
        <w:rPr>
          <w:bCs/>
        </w:rPr>
      </w:pPr>
      <w:r w:rsidRPr="005224A4">
        <w:rPr>
          <w:bCs/>
        </w:rPr>
        <w:t>Adopt an excessive interest rate and</w:t>
      </w:r>
      <w:r w:rsidR="009C1E3F">
        <w:rPr>
          <w:bCs/>
        </w:rPr>
        <w:t>/</w:t>
      </w:r>
      <w:r w:rsidRPr="005224A4">
        <w:rPr>
          <w:bCs/>
        </w:rPr>
        <w:t xml:space="preserve">or amount of debt </w:t>
      </w:r>
      <w:proofErr w:type="gramStart"/>
      <w:r w:rsidRPr="005224A4">
        <w:rPr>
          <w:bCs/>
        </w:rPr>
        <w:t>so as to</w:t>
      </w:r>
      <w:proofErr w:type="gramEnd"/>
      <w:r w:rsidRPr="005224A4">
        <w:rPr>
          <w:bCs/>
        </w:rPr>
        <w:t xml:space="preserve"> reduce taxable income.</w:t>
      </w:r>
    </w:p>
    <w:p w14:paraId="03CE06D6" w14:textId="7F6DE39B" w:rsidR="005224A4" w:rsidRPr="005224A4" w:rsidRDefault="005224A4" w:rsidP="005224A4">
      <w:pPr>
        <w:pStyle w:val="Bullet"/>
        <w:numPr>
          <w:ilvl w:val="1"/>
          <w:numId w:val="3"/>
        </w:numPr>
        <w:rPr>
          <w:bCs/>
        </w:rPr>
      </w:pPr>
      <w:r w:rsidRPr="005224A4">
        <w:rPr>
          <w:bCs/>
        </w:rPr>
        <w:t>Disguise the use of financial arrangements to make or facilitate transactions with, or payments or distributions to, related parties (noting possible interactions with Australia’s thin capitalisation rules)</w:t>
      </w:r>
      <w:r w:rsidR="004F2522">
        <w:rPr>
          <w:bCs/>
        </w:rPr>
        <w:t>.</w:t>
      </w:r>
    </w:p>
    <w:p w14:paraId="5B25AD13" w14:textId="1236A973" w:rsidR="002A77BC" w:rsidRPr="008212AD" w:rsidRDefault="00A6237F" w:rsidP="00A6237F">
      <w:pPr>
        <w:pStyle w:val="Bullet"/>
        <w:rPr>
          <w:b/>
        </w:rPr>
      </w:pPr>
      <w:r w:rsidRPr="00CE014F">
        <w:t>Replacement of a foreign inbound holding structure</w:t>
      </w:r>
      <w:r w:rsidR="00406F54">
        <w:t>,</w:t>
      </w:r>
      <w:r w:rsidRPr="00CE014F">
        <w:t xml:space="preserve"> covered by </w:t>
      </w:r>
      <w:r w:rsidR="0072264C">
        <w:t xml:space="preserve">the </w:t>
      </w:r>
      <w:r w:rsidRPr="00CE014F">
        <w:t>imported hybrid mismatch rules</w:t>
      </w:r>
      <w:r w:rsidR="00406F54">
        <w:t>,</w:t>
      </w:r>
      <w:r w:rsidRPr="00CE014F">
        <w:t xml:space="preserve"> with a different structure to obtain more favourable Australian tax outcomes under the hybrid mismatch provisions.</w:t>
      </w:r>
    </w:p>
    <w:p w14:paraId="1AE7EB3F" w14:textId="325B4AB8" w:rsidR="008212AD" w:rsidRPr="00A6237F" w:rsidRDefault="00A90EEC" w:rsidP="00A6237F">
      <w:pPr>
        <w:pStyle w:val="Bullet"/>
        <w:rPr>
          <w:b/>
        </w:rPr>
      </w:pPr>
      <w:r>
        <w:t>I</w:t>
      </w:r>
      <w:r w:rsidR="008212AD">
        <w:t>nvestments that are structured through effective low or no tax jurisdictions where there is limited relevant economic activity taking place</w:t>
      </w:r>
      <w:r>
        <w:t>.</w:t>
      </w:r>
    </w:p>
    <w:p w14:paraId="2FAA959A" w14:textId="40CD3EE8" w:rsidR="00175C58" w:rsidRPr="008C1B44" w:rsidRDefault="00175C58" w:rsidP="00175C58">
      <w:pPr>
        <w:pStyle w:val="Bullet"/>
        <w:tabs>
          <w:tab w:val="clear" w:pos="520"/>
        </w:tabs>
      </w:pPr>
      <w:r w:rsidRPr="008C1B44">
        <w:t>A transaction that</w:t>
      </w:r>
      <w:r w:rsidR="00723745">
        <w:t xml:space="preserve"> otherwise has one or more of the following features</w:t>
      </w:r>
      <w:r w:rsidR="00723745" w:rsidRPr="008C1B44">
        <w:t>:</w:t>
      </w:r>
      <w:r w:rsidRPr="008C1B44">
        <w:t xml:space="preserve"> </w:t>
      </w:r>
    </w:p>
    <w:p w14:paraId="3E39F2C3" w14:textId="763613B0" w:rsidR="00175C58" w:rsidRPr="008C1B44" w:rsidRDefault="00723745" w:rsidP="00175C58">
      <w:pPr>
        <w:pStyle w:val="Bullet"/>
        <w:numPr>
          <w:ilvl w:val="1"/>
          <w:numId w:val="3"/>
        </w:numPr>
      </w:pPr>
      <w:r>
        <w:t>A</w:t>
      </w:r>
      <w:r w:rsidR="00175C58" w:rsidRPr="008C1B44">
        <w:t>ppears to make no commercial sense</w:t>
      </w:r>
      <w:r w:rsidR="00E3195F">
        <w:t>.</w:t>
      </w:r>
      <w:r w:rsidR="00175C58" w:rsidRPr="008C1B44">
        <w:t> </w:t>
      </w:r>
    </w:p>
    <w:p w14:paraId="5022F70F" w14:textId="139E43FF" w:rsidR="00175C58" w:rsidRPr="008C1B44" w:rsidRDefault="00F20542" w:rsidP="00175C58">
      <w:pPr>
        <w:pStyle w:val="Bullet"/>
        <w:numPr>
          <w:ilvl w:val="1"/>
          <w:numId w:val="3"/>
        </w:numPr>
      </w:pPr>
      <w:r>
        <w:t>Appears</w:t>
      </w:r>
      <w:r w:rsidR="00175C58" w:rsidRPr="008C1B44">
        <w:t xml:space="preserve"> overly complex or convoluted</w:t>
      </w:r>
      <w:r w:rsidR="00E3195F">
        <w:t>.</w:t>
      </w:r>
      <w:r w:rsidR="00175C58" w:rsidRPr="008C1B44">
        <w:t> </w:t>
      </w:r>
    </w:p>
    <w:p w14:paraId="455CB5C3" w14:textId="3044252F" w:rsidR="00FC4612" w:rsidRDefault="00723745" w:rsidP="00FC4612">
      <w:pPr>
        <w:pStyle w:val="Bullet"/>
        <w:numPr>
          <w:ilvl w:val="1"/>
          <w:numId w:val="3"/>
        </w:numPr>
      </w:pPr>
      <w:r>
        <w:t>I</w:t>
      </w:r>
      <w:r w:rsidR="00175C58" w:rsidRPr="008C1B44">
        <w:t xml:space="preserve">nvolves hybrid financing instruments which appear </w:t>
      </w:r>
      <w:r w:rsidR="00175C58">
        <w:t>designed to obtain more favourable Australian tax outcomes under the hybrid mismatch provisions</w:t>
      </w:r>
      <w:r w:rsidR="007E7EE4">
        <w:t>.</w:t>
      </w:r>
      <w:r w:rsidR="00175C58">
        <w:t xml:space="preserve"> </w:t>
      </w:r>
    </w:p>
    <w:p w14:paraId="6457E735" w14:textId="5151ACBD" w:rsidR="00136ED0" w:rsidRPr="00C15CD9" w:rsidRDefault="00136ED0" w:rsidP="00841CC2">
      <w:pPr>
        <w:pStyle w:val="Heading3"/>
      </w:pPr>
      <w:r w:rsidRPr="00C15CD9">
        <w:t xml:space="preserve">Related or earlier actions undertaken </w:t>
      </w:r>
    </w:p>
    <w:p w14:paraId="1B4DC9E0" w14:textId="29CACB1F" w:rsidR="00136ED0" w:rsidRPr="00C15CD9" w:rsidRDefault="00136ED0" w:rsidP="000F5D59">
      <w:r w:rsidRPr="00C15CD9">
        <w:t>The ATO undertakes a broad and holistic examination of the circumstances surrounding each action and each investor</w:t>
      </w:r>
      <w:r w:rsidR="00970E77">
        <w:t xml:space="preserve"> (including the circumstances of the vendor where necessary)</w:t>
      </w:r>
      <w:r w:rsidRPr="00C15CD9">
        <w:t>. In formulating its advice about the impact of an action on the Australian Government</w:t>
      </w:r>
      <w:r w:rsidR="000F5D59">
        <w:t>’</w:t>
      </w:r>
      <w:r w:rsidRPr="00C15CD9">
        <w:t>s tax revenues</w:t>
      </w:r>
      <w:r w:rsidR="008220FB">
        <w:t>,</w:t>
      </w:r>
      <w:r w:rsidRPr="00C15CD9">
        <w:t xml:space="preserve"> the ATO considers: </w:t>
      </w:r>
    </w:p>
    <w:p w14:paraId="12466640" w14:textId="77777777" w:rsidR="00136ED0" w:rsidRPr="00C15CD9" w:rsidRDefault="00136ED0" w:rsidP="000F5D59">
      <w:pPr>
        <w:pStyle w:val="Bullet"/>
      </w:pPr>
      <w:r w:rsidRPr="00C15CD9">
        <w:t xml:space="preserve">The tax impact of earlier transactions undertaken by the investor and </w:t>
      </w:r>
      <w:r w:rsidRPr="000F5D59">
        <w:t>its</w:t>
      </w:r>
      <w:r w:rsidRPr="00C15CD9">
        <w:t xml:space="preserve"> related </w:t>
      </w:r>
      <w:proofErr w:type="gramStart"/>
      <w:r w:rsidRPr="00C15CD9">
        <w:t>parties;</w:t>
      </w:r>
      <w:proofErr w:type="gramEnd"/>
      <w:r w:rsidRPr="00C15CD9">
        <w:t xml:space="preserve"> </w:t>
      </w:r>
    </w:p>
    <w:p w14:paraId="31CD70DB" w14:textId="77777777" w:rsidR="00136ED0" w:rsidRPr="00C15CD9" w:rsidRDefault="00136ED0" w:rsidP="000F5D59">
      <w:pPr>
        <w:pStyle w:val="Bullet"/>
      </w:pPr>
      <w:r w:rsidRPr="00C15CD9">
        <w:t xml:space="preserve">Any patterns of behaviour by the investor and its </w:t>
      </w:r>
      <w:r w:rsidRPr="000F5D59">
        <w:t>related</w:t>
      </w:r>
      <w:r w:rsidRPr="00C15CD9">
        <w:t xml:space="preserve"> </w:t>
      </w:r>
      <w:proofErr w:type="gramStart"/>
      <w:r w:rsidRPr="00C15CD9">
        <w:t>parties;</w:t>
      </w:r>
      <w:proofErr w:type="gramEnd"/>
    </w:p>
    <w:p w14:paraId="316F3F9A" w14:textId="18A8A738" w:rsidR="00136ED0" w:rsidRPr="00C15CD9" w:rsidRDefault="00136ED0" w:rsidP="000F5D59">
      <w:pPr>
        <w:pStyle w:val="Bullet"/>
      </w:pPr>
      <w:r w:rsidRPr="00C15CD9">
        <w:t>Any pre</w:t>
      </w:r>
      <w:r w:rsidR="000F5D59">
        <w:noBreakHyphen/>
      </w:r>
      <w:r w:rsidRPr="00C15CD9">
        <w:t xml:space="preserve">existing arrangements that may affect the tax revenue </w:t>
      </w:r>
      <w:r w:rsidRPr="000F5D59">
        <w:t>from</w:t>
      </w:r>
      <w:r w:rsidRPr="00C15CD9">
        <w:t xml:space="preserve"> the proposed action; and</w:t>
      </w:r>
      <w:r w:rsidR="00A82F48">
        <w:t xml:space="preserve"> </w:t>
      </w:r>
    </w:p>
    <w:p w14:paraId="13E7B9B6" w14:textId="77777777" w:rsidR="00136ED0" w:rsidRPr="00C15CD9" w:rsidRDefault="00136ED0" w:rsidP="000F5D59">
      <w:pPr>
        <w:pStyle w:val="Bullet"/>
        <w:rPr>
          <w:b/>
        </w:rPr>
      </w:pPr>
      <w:r w:rsidRPr="00C15CD9">
        <w:t>Known future actions that are related to the action and that may affect the tax revenues from the action, including elements that may occur entirely offshore.</w:t>
      </w:r>
    </w:p>
    <w:p w14:paraId="3BCC2886" w14:textId="55378FC8" w:rsidR="00136ED0" w:rsidRPr="009D79EB" w:rsidRDefault="00136ED0" w:rsidP="000F5D59">
      <w:r w:rsidRPr="00C15CD9">
        <w:t xml:space="preserve">For example, if asked to consider the tax risk associated with the acquisition of a new asset by an investor, the ATO may have regard to any related party financing arrangements already in place that may have the effect of reducing the tax payable in respect of income to be derived from the new asset. This may be especially </w:t>
      </w:r>
      <w:r w:rsidRPr="009D79EB">
        <w:t xml:space="preserve">relevant when the ATO is asked to advise on the tax </w:t>
      </w:r>
      <w:r w:rsidRPr="009D79EB">
        <w:lastRenderedPageBreak/>
        <w:t>impact of a</w:t>
      </w:r>
      <w:r w:rsidR="005D5737" w:rsidRPr="009D79EB">
        <w:t xml:space="preserve"> proposals</w:t>
      </w:r>
      <w:r w:rsidRPr="009D79EB">
        <w:t xml:space="preserve"> for an exemption certificate, which allows an investor to take certain actions (for example, acquisition of multiple unspecified land titles) over </w:t>
      </w:r>
      <w:proofErr w:type="gramStart"/>
      <w:r w:rsidRPr="009D79EB">
        <w:t>a period of time</w:t>
      </w:r>
      <w:proofErr w:type="gramEnd"/>
      <w:r w:rsidRPr="009D79EB">
        <w:t>.</w:t>
      </w:r>
    </w:p>
    <w:p w14:paraId="223B795E" w14:textId="77777777" w:rsidR="00136ED0" w:rsidRPr="009D79EB" w:rsidRDefault="00136ED0" w:rsidP="000F5D59">
      <w:pPr>
        <w:pStyle w:val="Heading3"/>
      </w:pPr>
      <w:r w:rsidRPr="009D79EB">
        <w:t>If the applicant is unable to provide sufficient information</w:t>
      </w:r>
    </w:p>
    <w:p w14:paraId="0421590B" w14:textId="4F93DAD9" w:rsidR="001D3906" w:rsidRPr="009D79EB" w:rsidRDefault="00136ED0" w:rsidP="000F5D59">
      <w:r w:rsidRPr="009D79EB">
        <w:t xml:space="preserve">The </w:t>
      </w:r>
      <w:r w:rsidR="00AA7CA5" w:rsidRPr="009D79EB">
        <w:t>Treasu</w:t>
      </w:r>
      <w:r w:rsidR="005B4D34" w:rsidRPr="009D79EB">
        <w:t>r</w:t>
      </w:r>
      <w:r w:rsidR="00FB1A32" w:rsidRPr="009D79EB">
        <w:t>y</w:t>
      </w:r>
      <w:r w:rsidR="00AA7CA5" w:rsidRPr="009D79EB">
        <w:t xml:space="preserve"> and </w:t>
      </w:r>
      <w:r w:rsidRPr="009D79EB">
        <w:t xml:space="preserve">ATO require that all relevant information specified in the </w:t>
      </w:r>
      <w:r w:rsidR="001B4D13" w:rsidRPr="009D79EB">
        <w:t xml:space="preserve">Proposal </w:t>
      </w:r>
      <w:r w:rsidRPr="009D79EB">
        <w:t xml:space="preserve">Checklist </w:t>
      </w:r>
      <w:r w:rsidR="001D3906" w:rsidRPr="009D79EB">
        <w:t xml:space="preserve">(including </w:t>
      </w:r>
      <w:r w:rsidR="00BC108D" w:rsidRPr="009D79EB">
        <w:t>A</w:t>
      </w:r>
      <w:r w:rsidR="000309A2" w:rsidRPr="009D79EB">
        <w:t xml:space="preserve">ppendix </w:t>
      </w:r>
      <w:r w:rsidR="00BC108D" w:rsidRPr="009D79EB">
        <w:t xml:space="preserve">– </w:t>
      </w:r>
      <w:r w:rsidR="001D3906" w:rsidRPr="009D79EB">
        <w:t xml:space="preserve">Tax Checklist) </w:t>
      </w:r>
      <w:r w:rsidRPr="009D79EB">
        <w:t xml:space="preserve">be provided with the </w:t>
      </w:r>
      <w:r w:rsidR="00B27897" w:rsidRPr="009D79EB">
        <w:t>proposal</w:t>
      </w:r>
      <w:r w:rsidRPr="009D79EB">
        <w:t xml:space="preserve">. </w:t>
      </w:r>
    </w:p>
    <w:p w14:paraId="12D78A2E" w14:textId="7BFB505D" w:rsidR="00F64776" w:rsidRDefault="001D3906" w:rsidP="000F5D59">
      <w:r w:rsidRPr="009D79EB">
        <w:t xml:space="preserve">If an applicant is unable </w:t>
      </w:r>
      <w:r w:rsidR="00884345" w:rsidRPr="009D79EB">
        <w:t xml:space="preserve">to provide any of the requested information, </w:t>
      </w:r>
      <w:r w:rsidR="00AA7CA5" w:rsidRPr="009D79EB">
        <w:t xml:space="preserve">they </w:t>
      </w:r>
      <w:r w:rsidR="00884345" w:rsidRPr="009D79EB">
        <w:t xml:space="preserve">should provide comments as to the reasons why. </w:t>
      </w:r>
      <w:r w:rsidR="008B7E2C" w:rsidRPr="009D79EB">
        <w:t>In these cases</w:t>
      </w:r>
      <w:r w:rsidR="00D959BD" w:rsidRPr="009D79EB">
        <w:t>,</w:t>
      </w:r>
      <w:r w:rsidR="008B7E2C" w:rsidRPr="009D79EB">
        <w:t xml:space="preserve"> there may still be a possibility of the tax</w:t>
      </w:r>
      <w:r w:rsidR="008B7E2C">
        <w:t xml:space="preserve"> risk being assessed by the ATO as either ‘low’ or ‘medium’ depending on the nature of the potential risks. </w:t>
      </w:r>
    </w:p>
    <w:p w14:paraId="7EFBD20C" w14:textId="6CF6F6EE" w:rsidR="00F64776" w:rsidRDefault="00F64776" w:rsidP="000F5D59">
      <w:r>
        <w:t>If the information is not available at the time of providing a response, but is expected to become available later</w:t>
      </w:r>
      <w:r w:rsidR="00D031A7">
        <w:t xml:space="preserve">, the </w:t>
      </w:r>
      <w:r w:rsidR="00724905">
        <w:t>a</w:t>
      </w:r>
      <w:r w:rsidR="00D031A7">
        <w:t>pplicant should</w:t>
      </w:r>
      <w:r>
        <w:t>:</w:t>
      </w:r>
    </w:p>
    <w:p w14:paraId="4AD7A900" w14:textId="575AE01E" w:rsidR="00F44F96" w:rsidRPr="00C95E70" w:rsidRDefault="00F64776" w:rsidP="00F64776">
      <w:pPr>
        <w:pStyle w:val="Bullet"/>
        <w:rPr>
          <w:b/>
        </w:rPr>
      </w:pPr>
      <w:r>
        <w:t>Provide a timeframe within which the information will (or is expected to) become available</w:t>
      </w:r>
      <w:r w:rsidR="00F44F96">
        <w:t>, and</w:t>
      </w:r>
    </w:p>
    <w:p w14:paraId="6D16745C" w14:textId="753F4903" w:rsidR="00F64776" w:rsidRPr="009D79EB" w:rsidRDefault="00F44F96" w:rsidP="00F64776">
      <w:pPr>
        <w:pStyle w:val="Bullet"/>
        <w:rPr>
          <w:b/>
        </w:rPr>
      </w:pPr>
      <w:r>
        <w:t xml:space="preserve">Provide that information, and any other </w:t>
      </w:r>
      <w:r w:rsidRPr="009D79EB">
        <w:t>relevant information, when it becomes available</w:t>
      </w:r>
      <w:r w:rsidR="00F64776" w:rsidRPr="009D79EB">
        <w:t>.</w:t>
      </w:r>
    </w:p>
    <w:p w14:paraId="5EABD913" w14:textId="3DFD9905" w:rsidR="00136ED0" w:rsidRPr="009D79EB" w:rsidRDefault="00136ED0" w:rsidP="000F5D59">
      <w:r w:rsidRPr="009D79EB">
        <w:t xml:space="preserve">Where information is not provided as part of the initial </w:t>
      </w:r>
      <w:r w:rsidR="00141709" w:rsidRPr="009D79EB">
        <w:t>submission</w:t>
      </w:r>
      <w:r w:rsidRPr="009D79EB">
        <w:t xml:space="preserve">, it will routinely be subsequently requested through a request for information which will contribute to an extended review time for the </w:t>
      </w:r>
      <w:r w:rsidR="00A04268" w:rsidRPr="009D79EB">
        <w:t>proposal</w:t>
      </w:r>
      <w:r w:rsidRPr="009D79EB">
        <w:t>.</w:t>
      </w:r>
      <w:r w:rsidR="0077157B" w:rsidRPr="009D79EB">
        <w:t xml:space="preserve"> </w:t>
      </w:r>
      <w:r w:rsidR="002C2472" w:rsidRPr="009D79EB">
        <w:t xml:space="preserve">In some cases, the ATO may require further additional information (not specified in the </w:t>
      </w:r>
      <w:r w:rsidR="00675B94" w:rsidRPr="009D79EB">
        <w:t xml:space="preserve">Tax </w:t>
      </w:r>
      <w:r w:rsidR="002C2472" w:rsidRPr="009D79EB">
        <w:t xml:space="preserve">Checklist) to better understand the proposed transaction </w:t>
      </w:r>
      <w:r w:rsidR="002349B5" w:rsidRPr="009D79EB">
        <w:t>and the potential tax risk.</w:t>
      </w:r>
    </w:p>
    <w:p w14:paraId="3497D136" w14:textId="5AB9DF70" w:rsidR="002349B5" w:rsidRPr="00C15CD9" w:rsidRDefault="002349B5" w:rsidP="000F5D59">
      <w:r w:rsidRPr="009D79EB">
        <w:t xml:space="preserve">If information is requested through </w:t>
      </w:r>
      <w:r w:rsidR="00461BF8" w:rsidRPr="009D79EB">
        <w:t>a request for information and is unable to be supplied, the ATO may recommend that the decision-maker impose additional</w:t>
      </w:r>
      <w:r w:rsidR="00461BF8">
        <w:t xml:space="preserve"> tax conditions </w:t>
      </w:r>
      <w:r w:rsidR="002F0FC7">
        <w:t xml:space="preserve">including </w:t>
      </w:r>
      <w:r w:rsidR="00461BF8">
        <w:t>requiring the applicant to provide the information later.</w:t>
      </w:r>
    </w:p>
    <w:p w14:paraId="66071D52" w14:textId="77777777" w:rsidR="00C0233C" w:rsidRDefault="00C0233C">
      <w:pPr>
        <w:spacing w:before="0" w:after="0"/>
        <w:rPr>
          <w:rFonts w:ascii="Calibri" w:hAnsi="Calibri" w:cs="Arial"/>
          <w:iCs/>
          <w:color w:val="2C384A"/>
          <w:kern w:val="32"/>
          <w:sz w:val="36"/>
          <w:szCs w:val="28"/>
        </w:rPr>
      </w:pPr>
      <w:bookmarkStart w:id="9" w:name="_Toc164179441"/>
      <w:bookmarkStart w:id="10" w:name="_Toc75967411"/>
      <w:r>
        <w:br w:type="page"/>
      </w:r>
    </w:p>
    <w:p w14:paraId="068F8C4F" w14:textId="48C26E1D" w:rsidR="00136ED0" w:rsidRPr="00C15CD9" w:rsidRDefault="00136ED0" w:rsidP="000F5D59">
      <w:pPr>
        <w:pStyle w:val="Heading2"/>
      </w:pPr>
      <w:bookmarkStart w:id="11" w:name="_Toc191384258"/>
      <w:r w:rsidRPr="00C15CD9">
        <w:lastRenderedPageBreak/>
        <w:t>C: When may a tax condition be imposed?</w:t>
      </w:r>
      <w:bookmarkEnd w:id="9"/>
      <w:bookmarkEnd w:id="10"/>
      <w:bookmarkEnd w:id="11"/>
    </w:p>
    <w:p w14:paraId="4C065F95" w14:textId="77777777" w:rsidR="00136ED0" w:rsidRDefault="00136ED0" w:rsidP="000F5D59">
      <w:pPr>
        <w:rPr>
          <w:szCs w:val="22"/>
        </w:rPr>
      </w:pPr>
      <w:r w:rsidRPr="00C15CD9">
        <w:rPr>
          <w:szCs w:val="22"/>
        </w:rPr>
        <w:t xml:space="preserve">See also the </w:t>
      </w:r>
      <w:r w:rsidRPr="00C15CD9">
        <w:rPr>
          <w:i/>
          <w:szCs w:val="22"/>
        </w:rPr>
        <w:t>Principles for Developing Conditions</w:t>
      </w:r>
      <w:r w:rsidRPr="00C15CD9">
        <w:rPr>
          <w:szCs w:val="22"/>
        </w:rPr>
        <w:t xml:space="preserve"> Guidance Note.</w:t>
      </w:r>
    </w:p>
    <w:p w14:paraId="40B0B4BF" w14:textId="77777777" w:rsidR="007C3577" w:rsidRPr="00C15CD9" w:rsidRDefault="007C3577" w:rsidP="007C3577">
      <w:pPr>
        <w:pStyle w:val="Heading3"/>
      </w:pPr>
      <w:r>
        <w:t>Provision of information generally</w:t>
      </w:r>
    </w:p>
    <w:p w14:paraId="62FFF1F7" w14:textId="61AA77A7" w:rsidR="0076394F" w:rsidRDefault="000D6E57" w:rsidP="000D6E57">
      <w:r>
        <w:rPr>
          <w:szCs w:val="22"/>
        </w:rPr>
        <w:t xml:space="preserve">Under the </w:t>
      </w:r>
      <w:r>
        <w:t xml:space="preserve">Act and </w:t>
      </w:r>
      <w:r w:rsidR="003D6850">
        <w:t>taxation law</w:t>
      </w:r>
      <w:r>
        <w:t>,</w:t>
      </w:r>
      <w:r>
        <w:rPr>
          <w:szCs w:val="22"/>
        </w:rPr>
        <w:t xml:space="preserve"> the Treasury and the ATO </w:t>
      </w:r>
      <w:r w:rsidR="003D6850">
        <w:rPr>
          <w:szCs w:val="22"/>
        </w:rPr>
        <w:t xml:space="preserve">respectively </w:t>
      </w:r>
      <w:r>
        <w:rPr>
          <w:szCs w:val="22"/>
        </w:rPr>
        <w:t>can require foreign investors to provide documents or information within specified timeframes</w:t>
      </w:r>
      <w:r>
        <w:t xml:space="preserve">. This may be done </w:t>
      </w:r>
      <w:r w:rsidR="00036941">
        <w:t>before or after</w:t>
      </w:r>
      <w:r>
        <w:t xml:space="preserve"> investors have </w:t>
      </w:r>
      <w:proofErr w:type="gramStart"/>
      <w:r w:rsidR="00036941">
        <w:t xml:space="preserve">taken </w:t>
      </w:r>
      <w:r>
        <w:t>action(s)</w:t>
      </w:r>
      <w:proofErr w:type="gramEnd"/>
      <w:r>
        <w:t xml:space="preserve"> </w:t>
      </w:r>
      <w:r w:rsidR="00036941">
        <w:t xml:space="preserve">regardless of whether they were </w:t>
      </w:r>
      <w:r>
        <w:t xml:space="preserve">assessed as </w:t>
      </w:r>
      <w:r w:rsidR="00036941">
        <w:t xml:space="preserve">low, </w:t>
      </w:r>
      <w:r>
        <w:t xml:space="preserve">medium or high risk in relation </w:t>
      </w:r>
      <w:r w:rsidRPr="00C15CD9">
        <w:t xml:space="preserve">to </w:t>
      </w:r>
      <w:r>
        <w:t xml:space="preserve">Australia’s </w:t>
      </w:r>
      <w:r w:rsidRPr="00C15CD9">
        <w:t xml:space="preserve">tax revenue or to the integrity of the tax </w:t>
      </w:r>
      <w:r w:rsidRPr="000F5D59">
        <w:t>system</w:t>
      </w:r>
      <w:r>
        <w:t xml:space="preserve">. </w:t>
      </w:r>
    </w:p>
    <w:p w14:paraId="2B8DA967" w14:textId="30A5958B" w:rsidR="00136ED0" w:rsidRPr="00C15CD9" w:rsidRDefault="00F2672B" w:rsidP="000F5D59">
      <w:pPr>
        <w:pStyle w:val="Heading3"/>
      </w:pPr>
      <w:r>
        <w:t>T</w:t>
      </w:r>
      <w:r w:rsidR="00136ED0" w:rsidRPr="00C15CD9">
        <w:t>ax conditions</w:t>
      </w:r>
    </w:p>
    <w:p w14:paraId="74A898D3" w14:textId="7FEA76B2" w:rsidR="00136ED0" w:rsidRPr="00C15CD9" w:rsidRDefault="00136ED0" w:rsidP="000F5D59">
      <w:r w:rsidRPr="00C15CD9">
        <w:t xml:space="preserve">If, following consultation, the Treasurer considers that tax conditions need to be applied to protect the national interest (including to address a risk to the integrity of the tax system and/or tax revenue), conditions may be imposed as part of a no objection notification </w:t>
      </w:r>
      <w:r w:rsidR="00DD1D8B">
        <w:t>or exemption certificate</w:t>
      </w:r>
      <w:r w:rsidRPr="00C15CD9">
        <w:t xml:space="preserve">, to ensure that </w:t>
      </w:r>
      <w:r w:rsidR="00DD1D8B">
        <w:t>an</w:t>
      </w:r>
      <w:r w:rsidRPr="00C15CD9">
        <w:t xml:space="preserve"> action will not be, or is not, contrary to the national interest. </w:t>
      </w:r>
    </w:p>
    <w:p w14:paraId="02FBD0A4" w14:textId="1AFC8CDF" w:rsidR="00136ED0" w:rsidRPr="00C15CD9" w:rsidRDefault="00136ED0" w:rsidP="004843A8">
      <w:r w:rsidRPr="00C15CD9">
        <w:t>The imposition of tax conditions will be done on a case</w:t>
      </w:r>
      <w:r w:rsidR="5AD6E98F">
        <w:t>-</w:t>
      </w:r>
      <w:r w:rsidRPr="00C15CD9">
        <w:t>by</w:t>
      </w:r>
      <w:r w:rsidR="2E476323">
        <w:t>-</w:t>
      </w:r>
      <w:r w:rsidRPr="00C15CD9">
        <w:t>case basis</w:t>
      </w:r>
      <w:r w:rsidR="00AF4622">
        <w:t xml:space="preserve">, </w:t>
      </w:r>
      <w:r w:rsidR="00AF4622" w:rsidRPr="00C15CD9">
        <w:t>and any conditions would be tailored to the circumstances of the action under consideration</w:t>
      </w:r>
      <w:r w:rsidRPr="00C15CD9">
        <w:t xml:space="preserve">. </w:t>
      </w:r>
      <w:r w:rsidR="00EC65FC" w:rsidRPr="00EC65FC">
        <w:t>This may occur where the relevant action(s) has been assessed as medium or high risk.</w:t>
      </w:r>
    </w:p>
    <w:p w14:paraId="7563566D" w14:textId="5A009267" w:rsidR="00FB61FE" w:rsidRDefault="00FB61FE" w:rsidP="000F5D59">
      <w:r>
        <w:t>Investors will be given an opportunity to review and respond to proposed conditions as part of the procedural fairness process.</w:t>
      </w:r>
    </w:p>
    <w:p w14:paraId="59CC7003" w14:textId="77777777" w:rsidR="006263F0" w:rsidRDefault="00136ED0" w:rsidP="000F5D59">
      <w:r w:rsidRPr="00C15CD9">
        <w:t xml:space="preserve">In cases where particularly complex or novel conditions are proposed, or the investor considers that there is an error or other technical issue with the proposed conditions, the investor may ask to discuss this further with the Treasury, or jointly with the Treasury and the ATO. Both Treasury and the ATO are willing to engage in such discussions with investors, where appropriate. </w:t>
      </w:r>
    </w:p>
    <w:p w14:paraId="381F3436" w14:textId="3DF031B0" w:rsidR="00136ED0" w:rsidRDefault="00136ED0" w:rsidP="000F5D59">
      <w:r w:rsidRPr="00C15CD9">
        <w:t xml:space="preserve">Should an investor wish to request such a discussion with either the Treasury, or jointly with the Treasury and the ATO, they can ask for this when responding to the </w:t>
      </w:r>
      <w:r w:rsidR="00944AEF">
        <w:t>procedural fairness</w:t>
      </w:r>
      <w:r w:rsidRPr="00C15CD9">
        <w:t xml:space="preserve"> process. </w:t>
      </w:r>
      <w:r w:rsidR="00944AEF">
        <w:t xml:space="preserve">All engagement with the ATO should be initiated </w:t>
      </w:r>
      <w:r w:rsidR="00C045BF">
        <w:t>through</w:t>
      </w:r>
      <w:r w:rsidR="00716AB6">
        <w:t xml:space="preserve"> </w:t>
      </w:r>
      <w:r w:rsidR="005D4BE1">
        <w:t>the</w:t>
      </w:r>
      <w:r w:rsidR="00716AB6">
        <w:t xml:space="preserve"> Treasury. </w:t>
      </w:r>
    </w:p>
    <w:p w14:paraId="2022D54F" w14:textId="2F1E4406" w:rsidR="00136ED0" w:rsidRDefault="00136ED0" w:rsidP="000F5D59">
      <w:r w:rsidRPr="00C15CD9">
        <w:t xml:space="preserve">It is important that all representatives for the investor are appropriately authorised to talk to </w:t>
      </w:r>
      <w:r w:rsidR="0062068A" w:rsidRPr="006C4807">
        <w:t xml:space="preserve">both the Treasury and </w:t>
      </w:r>
      <w:r w:rsidRPr="006C4807">
        <w:t>the ATO</w:t>
      </w:r>
      <w:r w:rsidR="00650D50" w:rsidRPr="006C4807">
        <w:t xml:space="preserve"> prior to any discussions taking place</w:t>
      </w:r>
      <w:r w:rsidRPr="006C4807">
        <w:t>. I</w:t>
      </w:r>
      <w:r w:rsidR="0062068A" w:rsidRPr="006C4807">
        <w:t>n respect of discussions involving the ATO, i</w:t>
      </w:r>
      <w:r w:rsidRPr="006C4807">
        <w:t>f</w:t>
      </w:r>
      <w:r w:rsidRPr="00C15CD9">
        <w:t xml:space="preserve"> an adviser is not the registered tax agent of the investor it is recommended anyone involved in the discussion</w:t>
      </w:r>
      <w:r w:rsidR="00BB46A6">
        <w:t xml:space="preserve"> is authorised prior to any discussion</w:t>
      </w:r>
      <w:r w:rsidRPr="00C15CD9">
        <w:t>.</w:t>
      </w:r>
      <w:r w:rsidR="00FA34D5">
        <w:t xml:space="preserve"> Details regarding the process for authorising representatives are available on the </w:t>
      </w:r>
      <w:hyperlink r:id="rId8" w:history="1">
        <w:r w:rsidR="00FA34D5" w:rsidRPr="00FA3E63">
          <w:rPr>
            <w:rStyle w:val="Hyperlink"/>
          </w:rPr>
          <w:t>ATO website</w:t>
        </w:r>
      </w:hyperlink>
      <w:r w:rsidR="00FA34D5">
        <w:t>.</w:t>
      </w:r>
    </w:p>
    <w:p w14:paraId="304EAD71" w14:textId="77777777" w:rsidR="00C0233C" w:rsidRDefault="00C0233C">
      <w:pPr>
        <w:spacing w:before="0" w:after="0"/>
        <w:rPr>
          <w:rFonts w:ascii="Calibri" w:hAnsi="Calibri" w:cs="Arial"/>
          <w:iCs/>
          <w:color w:val="2C384A"/>
          <w:kern w:val="32"/>
          <w:sz w:val="36"/>
          <w:szCs w:val="28"/>
        </w:rPr>
      </w:pPr>
      <w:bookmarkStart w:id="12" w:name="_Toc75967412"/>
      <w:r>
        <w:br w:type="page"/>
      </w:r>
    </w:p>
    <w:p w14:paraId="735DFB6E" w14:textId="39FCBF96" w:rsidR="00136ED0" w:rsidRPr="00C15CD9" w:rsidRDefault="00136ED0" w:rsidP="000F5D59">
      <w:pPr>
        <w:pStyle w:val="Heading2"/>
      </w:pPr>
      <w:bookmarkStart w:id="13" w:name="_Toc191384259"/>
      <w:r w:rsidRPr="00C15CD9">
        <w:lastRenderedPageBreak/>
        <w:t>D: Examples of tax conditions</w:t>
      </w:r>
      <w:r w:rsidRPr="00C15CD9">
        <w:rPr>
          <w:rStyle w:val="FootnoteReference"/>
          <w:color w:val="5F5F5F" w:themeColor="text2"/>
        </w:rPr>
        <w:footnoteReference w:id="2"/>
      </w:r>
      <w:bookmarkEnd w:id="12"/>
      <w:bookmarkEnd w:id="13"/>
    </w:p>
    <w:p w14:paraId="397E7074" w14:textId="2C3A0791" w:rsidR="00372B53" w:rsidRPr="00A819F0" w:rsidRDefault="00372B53" w:rsidP="00372B53">
      <w:r>
        <w:t xml:space="preserve">In complying with the tax condition(s) imposed in a </w:t>
      </w:r>
      <w:r w:rsidR="00D93109">
        <w:t>n</w:t>
      </w:r>
      <w:r>
        <w:t xml:space="preserve">o </w:t>
      </w:r>
      <w:r w:rsidR="00D93109">
        <w:t>o</w:t>
      </w:r>
      <w:r>
        <w:t xml:space="preserve">bjection </w:t>
      </w:r>
      <w:r w:rsidR="00D93109">
        <w:t>n</w:t>
      </w:r>
      <w:r>
        <w:t xml:space="preserve">otice or </w:t>
      </w:r>
      <w:r w:rsidR="00D93109">
        <w:t>e</w:t>
      </w:r>
      <w:r>
        <w:t xml:space="preserve">xemption </w:t>
      </w:r>
      <w:r w:rsidR="00D93109">
        <w:t>c</w:t>
      </w:r>
      <w:r>
        <w:t>ertificate, w</w:t>
      </w:r>
      <w:r w:rsidRPr="00210C2A">
        <w:rPr>
          <w:rStyle w:val="FootnoteReference"/>
          <w:vertAlign w:val="baseline"/>
        </w:rPr>
        <w:t>here appropriate</w:t>
      </w:r>
      <w:r>
        <w:t>,</w:t>
      </w:r>
      <w:r w:rsidRPr="00210C2A">
        <w:rPr>
          <w:rStyle w:val="FootnoteReference"/>
          <w:vertAlign w:val="baseline"/>
        </w:rPr>
        <w:t xml:space="preserve"> the Applicant can claim that the documents are protected from production by legal professional privilege or an administrative concession granted by the Commissioner</w:t>
      </w:r>
      <w:r w:rsidR="00D676D0">
        <w:t xml:space="preserve"> of Taxation</w:t>
      </w:r>
      <w:r w:rsidRPr="00210C2A">
        <w:rPr>
          <w:rStyle w:val="FootnoteReference"/>
          <w:vertAlign w:val="baseline"/>
        </w:rPr>
        <w:t>. Any claims for privilege or concession should be made in a timely manner</w:t>
      </w:r>
      <w:r>
        <w:t>. It is expected that the Applicant and entities within its control group will act consistently with the</w:t>
      </w:r>
      <w:r w:rsidRPr="00210C2A">
        <w:rPr>
          <w:rStyle w:val="FootnoteReference"/>
          <w:vertAlign w:val="baseline"/>
        </w:rPr>
        <w:t xml:space="preserve"> relevant ATO guidelines. </w:t>
      </w:r>
      <w:hyperlink r:id="rId9" w:tgtFrame="_blank" w:tooltip="https://www.ato.gov.au/law/view/document?docid=sgm/lpp-final" w:history="1">
        <w:r w:rsidRPr="00C95E70">
          <w:rPr>
            <w:rStyle w:val="FootnoteReference"/>
            <w:color w:val="0070C0"/>
            <w:u w:val="single"/>
            <w:vertAlign w:val="baseline"/>
          </w:rPr>
          <w:t>Compliance with formal notices – claiming legal professional privilege in response to formal notices – Legal professional privilege (LPP) protocol</w:t>
        </w:r>
      </w:hyperlink>
      <w:r w:rsidRPr="00210C2A">
        <w:rPr>
          <w:rStyle w:val="FootnoteReference"/>
          <w:vertAlign w:val="baseline"/>
        </w:rPr>
        <w:t> contains the ATO’s recommended approach for identifying communications covered by legal professional privilege and making legal professional privilege claims to the ATO.</w:t>
      </w:r>
    </w:p>
    <w:p w14:paraId="6670A1DF" w14:textId="3DE92223" w:rsidR="00766FAC" w:rsidRPr="00A819F0" w:rsidRDefault="006A71DC" w:rsidP="00EE65C2">
      <w:r>
        <w:t xml:space="preserve">This </w:t>
      </w:r>
      <w:r w:rsidR="009E5756">
        <w:t xml:space="preserve">section </w:t>
      </w:r>
      <w:r w:rsidR="00EA7EF8">
        <w:t>give</w:t>
      </w:r>
      <w:r>
        <w:t>s</w:t>
      </w:r>
      <w:r w:rsidR="00EA7EF8">
        <w:t xml:space="preserve"> a </w:t>
      </w:r>
      <w:r w:rsidR="0036479D">
        <w:t xml:space="preserve">non-exhaustive </w:t>
      </w:r>
      <w:r w:rsidR="00EA7EF8">
        <w:t xml:space="preserve">guide about the information which </w:t>
      </w:r>
      <w:r w:rsidR="00BB0952">
        <w:t>may</w:t>
      </w:r>
      <w:r w:rsidR="00EA7EF8">
        <w:t xml:space="preserve"> be required </w:t>
      </w:r>
      <w:r w:rsidR="008D30D2">
        <w:t xml:space="preserve">under </w:t>
      </w:r>
      <w:r w:rsidR="00AC5620">
        <w:t xml:space="preserve">tax </w:t>
      </w:r>
      <w:r w:rsidR="00CC5C98">
        <w:t>conditions</w:t>
      </w:r>
      <w:r w:rsidR="00AF64BB">
        <w:t>.</w:t>
      </w:r>
      <w:r w:rsidR="00EE65C2" w:rsidDel="00EE65C2">
        <w:t xml:space="preserve"> </w:t>
      </w:r>
    </w:p>
    <w:p w14:paraId="6D140C0A" w14:textId="494120B7" w:rsidR="0020722D" w:rsidRPr="00DC5D3F" w:rsidRDefault="0020722D" w:rsidP="0020722D">
      <w:r>
        <w:t xml:space="preserve">Investors should note that conditions </w:t>
      </w:r>
      <w:r w:rsidR="00F00C8D">
        <w:t xml:space="preserve">are </w:t>
      </w:r>
      <w:r>
        <w:t xml:space="preserve">recommended based on particular </w:t>
      </w:r>
      <w:proofErr w:type="gramStart"/>
      <w:r>
        <w:t>circumstances, and</w:t>
      </w:r>
      <w:proofErr w:type="gramEnd"/>
      <w:r>
        <w:t xml:space="preserve"> will be considered on a </w:t>
      </w:r>
      <w:r w:rsidR="1143A595">
        <w:t>case-</w:t>
      </w:r>
      <w:r>
        <w:t>by</w:t>
      </w:r>
      <w:r w:rsidR="1143A595">
        <w:t>-</w:t>
      </w:r>
      <w:r>
        <w:t>case basis.</w:t>
      </w:r>
    </w:p>
    <w:p w14:paraId="4CD3B7CD" w14:textId="76842C15" w:rsidR="004E2344" w:rsidRDefault="00AA7CA5" w:rsidP="004E2344">
      <w:pPr>
        <w:pStyle w:val="Heading4"/>
      </w:pPr>
      <w:r>
        <w:t>G</w:t>
      </w:r>
      <w:r w:rsidR="004E2344" w:rsidRPr="00426B3E">
        <w:t>eneral</w:t>
      </w:r>
    </w:p>
    <w:p w14:paraId="5B591DC1" w14:textId="52D25344" w:rsidR="00D73305" w:rsidRPr="00D73305" w:rsidRDefault="00B86681" w:rsidP="00427141">
      <w:r>
        <w:t>A general tax condition may require the investor to provide the following information to Treasury (foreigninvestmentcompliance@treasury.gov.au) and ATO (ATO-FIRBS@ato.gov.au) within 90 days of the transaction completing:</w:t>
      </w:r>
    </w:p>
    <w:p w14:paraId="713F1301" w14:textId="69D14612" w:rsidR="004E2344" w:rsidRPr="00426B3E" w:rsidRDefault="004E2344" w:rsidP="00DE4ACE">
      <w:pPr>
        <w:pStyle w:val="ListParagraph"/>
        <w:numPr>
          <w:ilvl w:val="0"/>
          <w:numId w:val="10"/>
        </w:numPr>
        <w:rPr>
          <w:szCs w:val="22"/>
        </w:rPr>
      </w:pPr>
      <w:r>
        <w:t>Where a new Australian entity associated with the transaction</w:t>
      </w:r>
      <w:r w:rsidR="00D46132">
        <w:t>(s)</w:t>
      </w:r>
      <w:r>
        <w:t xml:space="preserve"> has been incorporated, the Tax File Number (</w:t>
      </w:r>
      <w:r w:rsidRPr="00265A4D">
        <w:rPr>
          <w:b/>
          <w:bCs/>
        </w:rPr>
        <w:t>TFN</w:t>
      </w:r>
      <w:r>
        <w:t>) or Australian Business Number (</w:t>
      </w:r>
      <w:r w:rsidRPr="00265A4D">
        <w:rPr>
          <w:b/>
          <w:bCs/>
        </w:rPr>
        <w:t>ABN</w:t>
      </w:r>
      <w:r>
        <w:t xml:space="preserve">).    </w:t>
      </w:r>
    </w:p>
    <w:p w14:paraId="1BC8FDE8" w14:textId="6290DA8E" w:rsidR="004E2344" w:rsidRPr="009D79EB" w:rsidRDefault="00CC5C98" w:rsidP="00DE4ACE">
      <w:pPr>
        <w:pStyle w:val="ListParagraph"/>
        <w:numPr>
          <w:ilvl w:val="0"/>
          <w:numId w:val="10"/>
        </w:numPr>
      </w:pPr>
      <w:r>
        <w:t>T</w:t>
      </w:r>
      <w:r w:rsidR="004E2344">
        <w:t>he details (name, position and firm)</w:t>
      </w:r>
      <w:r>
        <w:t xml:space="preserve"> and engagement letter(s)</w:t>
      </w:r>
      <w:r w:rsidR="004E2344">
        <w:t xml:space="preserve"> of any lawyer/s and/or tax adviser/s who advised on Australian tax matters in relation to </w:t>
      </w:r>
      <w:r>
        <w:t>the proposed acquisition</w:t>
      </w:r>
      <w:r w:rsidR="00CD4F6E">
        <w:t>(s)</w:t>
      </w:r>
      <w:r w:rsidR="004E2344">
        <w:t xml:space="preserve">, Foreign </w:t>
      </w:r>
      <w:r w:rsidR="004E2344" w:rsidRPr="009D79EB">
        <w:t xml:space="preserve">Investment </w:t>
      </w:r>
      <w:r w:rsidR="008014B9" w:rsidRPr="009D79EB">
        <w:t xml:space="preserve">proposal </w:t>
      </w:r>
      <w:r w:rsidR="004E2344" w:rsidRPr="009D79EB">
        <w:t xml:space="preserve">and/or request for information/condition response.   </w:t>
      </w:r>
    </w:p>
    <w:p w14:paraId="08C18088" w14:textId="46133148" w:rsidR="004E2344" w:rsidRPr="009D79EB" w:rsidRDefault="00CC5C98" w:rsidP="00DE4ACE">
      <w:pPr>
        <w:pStyle w:val="ListParagraph"/>
        <w:numPr>
          <w:ilvl w:val="0"/>
          <w:numId w:val="9"/>
        </w:numPr>
        <w:spacing w:line="259" w:lineRule="auto"/>
      </w:pPr>
      <w:r w:rsidRPr="009D79EB">
        <w:t>M</w:t>
      </w:r>
      <w:r w:rsidR="004E2344" w:rsidRPr="009D79EB">
        <w:t>ost recent audited financial statements for the Target Entity</w:t>
      </w:r>
      <w:r w:rsidR="000334A4" w:rsidRPr="009D79EB">
        <w:t>/Entities</w:t>
      </w:r>
      <w:r w:rsidR="004E2344" w:rsidRPr="009D79EB">
        <w:t xml:space="preserve">, or, if audited financial statements are not available, the latest financial records or unaudited financial statements. </w:t>
      </w:r>
    </w:p>
    <w:p w14:paraId="026C8D51" w14:textId="6A1D5DC3" w:rsidR="004E2344" w:rsidRPr="009D79EB" w:rsidRDefault="004E2344" w:rsidP="00DE4ACE">
      <w:pPr>
        <w:pStyle w:val="ListParagraph"/>
        <w:numPr>
          <w:ilvl w:val="0"/>
          <w:numId w:val="9"/>
        </w:numPr>
        <w:spacing w:line="259" w:lineRule="auto"/>
        <w:rPr>
          <w:rFonts w:eastAsia="Calibri Light"/>
        </w:rPr>
      </w:pPr>
      <w:r w:rsidRPr="009D79EB">
        <w:t xml:space="preserve">Detail any changes to the structure diagram in the </w:t>
      </w:r>
      <w:r w:rsidR="000C056D" w:rsidRPr="009D79EB">
        <w:t>proposal</w:t>
      </w:r>
      <w:r w:rsidRPr="009D79EB">
        <w:t xml:space="preserve"> cover letter and the final structure (including any interposed entities</w:t>
      </w:r>
      <w:r w:rsidR="00E71A8C" w:rsidRPr="009D79EB">
        <w:t>).</w:t>
      </w:r>
      <w:r w:rsidRPr="009D79EB">
        <w:rPr>
          <w:rFonts w:eastAsia="Calibri Light"/>
        </w:rPr>
        <w:t xml:space="preserve"> </w:t>
      </w:r>
    </w:p>
    <w:p w14:paraId="197620D7" w14:textId="72AAEBF1" w:rsidR="004E2344" w:rsidRPr="009D79EB" w:rsidRDefault="004E2344" w:rsidP="00DE4ACE">
      <w:pPr>
        <w:pStyle w:val="ListParagraph"/>
        <w:numPr>
          <w:ilvl w:val="0"/>
          <w:numId w:val="9"/>
        </w:numPr>
        <w:spacing w:line="259" w:lineRule="auto"/>
      </w:pPr>
      <w:r w:rsidRPr="009D79EB">
        <w:rPr>
          <w:rFonts w:eastAsia="Calibri Light"/>
        </w:rPr>
        <w:t xml:space="preserve">Detail any steps in the </w:t>
      </w:r>
      <w:r w:rsidRPr="009D79EB">
        <w:t>transaction</w:t>
      </w:r>
      <w:r w:rsidR="000334A4" w:rsidRPr="009D79EB">
        <w:t>(s)</w:t>
      </w:r>
      <w:r w:rsidRPr="009D79EB">
        <w:rPr>
          <w:rFonts w:eastAsia="Calibri Light"/>
        </w:rPr>
        <w:t xml:space="preserve"> </w:t>
      </w:r>
      <w:r w:rsidRPr="009D79EB">
        <w:t>which</w:t>
      </w:r>
      <w:r w:rsidRPr="009D79EB">
        <w:rPr>
          <w:rFonts w:eastAsia="Calibri Light"/>
        </w:rPr>
        <w:t xml:space="preserve"> have not been implemented and the reasons why.</w:t>
      </w:r>
    </w:p>
    <w:p w14:paraId="62F8F6E6" w14:textId="7F36F77A" w:rsidR="00EF1FD6" w:rsidRPr="009D79EB" w:rsidRDefault="00EF1FD6" w:rsidP="00DE4ACE">
      <w:pPr>
        <w:pStyle w:val="Bullet"/>
        <w:numPr>
          <w:ilvl w:val="0"/>
          <w:numId w:val="9"/>
        </w:numPr>
      </w:pPr>
      <w:r w:rsidRPr="009D79EB">
        <w:t xml:space="preserve">Up-to-date information in relation to the action(s), including any changes upon implementation in comparison to the action(s) in the foreign investment proposal. </w:t>
      </w:r>
    </w:p>
    <w:p w14:paraId="57CFBDB8" w14:textId="5BCDC606" w:rsidR="00EF1FD6" w:rsidRPr="009D79EB" w:rsidRDefault="00EF1FD6" w:rsidP="00DE4ACE">
      <w:pPr>
        <w:pStyle w:val="ListParagraph"/>
        <w:numPr>
          <w:ilvl w:val="0"/>
          <w:numId w:val="9"/>
        </w:numPr>
        <w:spacing w:line="259" w:lineRule="auto"/>
      </w:pPr>
      <w:r w:rsidRPr="009D79EB">
        <w:t xml:space="preserve">Confirmation of when the transaction(s) is implemented and if </w:t>
      </w:r>
      <w:r w:rsidR="00156F26" w:rsidRPr="009D79EB">
        <w:t xml:space="preserve">the transaction </w:t>
      </w:r>
      <w:r w:rsidR="00BB6066" w:rsidRPr="009D79EB">
        <w:t xml:space="preserve">has been </w:t>
      </w:r>
      <w:r w:rsidRPr="009D79EB">
        <w:t>implemented as advised.</w:t>
      </w:r>
    </w:p>
    <w:p w14:paraId="1CA7F18D" w14:textId="566AAEC7" w:rsidR="00BC2C8F" w:rsidRPr="009D79EB" w:rsidRDefault="00BC2C8F" w:rsidP="00DE4ACE">
      <w:pPr>
        <w:pStyle w:val="ListParagraph"/>
        <w:numPr>
          <w:ilvl w:val="0"/>
          <w:numId w:val="9"/>
        </w:numPr>
        <w:spacing w:line="259" w:lineRule="auto"/>
      </w:pPr>
      <w:r w:rsidRPr="009D79EB">
        <w:rPr>
          <w:rFonts w:eastAsia="Calibri Light"/>
        </w:rPr>
        <w:lastRenderedPageBreak/>
        <w:t>Whether any part of the proposed acquisition</w:t>
      </w:r>
      <w:r w:rsidR="0030366B" w:rsidRPr="009D79EB">
        <w:rPr>
          <w:rFonts w:eastAsia="Calibri Light"/>
        </w:rPr>
        <w:t>(s)</w:t>
      </w:r>
      <w:r w:rsidRPr="009D79EB">
        <w:rPr>
          <w:rFonts w:eastAsia="Calibri Light"/>
        </w:rPr>
        <w:t xml:space="preserve"> has features or an arrangement covered by one or more Taxpayer Alert(s) issued by the ATO</w:t>
      </w:r>
      <w:r w:rsidR="00DC71D4" w:rsidRPr="009D79EB">
        <w:rPr>
          <w:rStyle w:val="FootnoteReference"/>
          <w:rFonts w:eastAsia="Calibri Light"/>
        </w:rPr>
        <w:footnoteReference w:id="3"/>
      </w:r>
      <w:r w:rsidRPr="009D79EB">
        <w:rPr>
          <w:rFonts w:eastAsia="Calibri Light"/>
        </w:rPr>
        <w:t>.</w:t>
      </w:r>
      <w:r w:rsidR="004111D2" w:rsidRPr="009D79EB">
        <w:rPr>
          <w:rFonts w:eastAsia="Calibri Light"/>
        </w:rPr>
        <w:t xml:space="preserve"> Taxpayer alerts can be found on the ATO legal database.</w:t>
      </w:r>
    </w:p>
    <w:p w14:paraId="58A3BB33" w14:textId="79321668" w:rsidR="00C53D81" w:rsidRPr="009D79EB" w:rsidRDefault="00C53D81" w:rsidP="00C53D81">
      <w:pPr>
        <w:pStyle w:val="Heading4"/>
      </w:pPr>
      <w:r w:rsidRPr="009D79EB">
        <w:t xml:space="preserve">Provision of information </w:t>
      </w:r>
    </w:p>
    <w:p w14:paraId="1C517815" w14:textId="45DBD21B" w:rsidR="00C53D81" w:rsidRDefault="00C53D81" w:rsidP="00C53D81">
      <w:r w:rsidRPr="009D79EB">
        <w:t>Where a proposed acquisition raise</w:t>
      </w:r>
      <w:r w:rsidR="00E27F33" w:rsidRPr="009D79EB">
        <w:t>s</w:t>
      </w:r>
      <w:r w:rsidRPr="009D79EB">
        <w:t xml:space="preserve"> tax risk</w:t>
      </w:r>
      <w:r w:rsidR="006368FE" w:rsidRPr="009D79EB">
        <w:t xml:space="preserve"> issue</w:t>
      </w:r>
      <w:r w:rsidRPr="009D79EB">
        <w:t xml:space="preserve">s </w:t>
      </w:r>
      <w:r w:rsidR="00861756" w:rsidRPr="009D79EB">
        <w:t>and</w:t>
      </w:r>
      <w:r w:rsidRPr="009D79EB">
        <w:t xml:space="preserve"> there is insufficient information to assess</w:t>
      </w:r>
      <w:r w:rsidR="00346416" w:rsidRPr="009D79EB">
        <w:t xml:space="preserve"> the proposal</w:t>
      </w:r>
      <w:r w:rsidRPr="009D79EB">
        <w:t>, conditions may require</w:t>
      </w:r>
      <w:r w:rsidR="001F08AE" w:rsidRPr="009D79EB">
        <w:t xml:space="preserve"> the Applicant to provide any documents or information</w:t>
      </w:r>
      <w:r w:rsidR="001F08AE" w:rsidRPr="009D79EB">
        <w:rPr>
          <w:rStyle w:val="FootnoteReference"/>
          <w:rFonts w:asciiTheme="minorHAnsi" w:hAnsiTheme="minorHAnsi" w:cstheme="minorHAnsi"/>
          <w:szCs w:val="22"/>
        </w:rPr>
        <w:footnoteReference w:id="4"/>
      </w:r>
      <w:r w:rsidR="001F08AE" w:rsidRPr="009D79EB">
        <w:t xml:space="preserve"> that is reasonably required to be</w:t>
      </w:r>
      <w:r w:rsidR="001F08AE" w:rsidRPr="00C15CD9">
        <w:t xml:space="preserve"> provided to the ATO</w:t>
      </w:r>
      <w:r w:rsidR="0043479D">
        <w:t>.</w:t>
      </w:r>
      <w:r w:rsidR="001F08AE" w:rsidRPr="00C15CD9">
        <w:t xml:space="preserve"> </w:t>
      </w:r>
      <w:r w:rsidR="0043479D">
        <w:t xml:space="preserve">This </w:t>
      </w:r>
      <w:r w:rsidR="001F08AE">
        <w:t>includ</w:t>
      </w:r>
      <w:r w:rsidR="0043479D">
        <w:t xml:space="preserve">es </w:t>
      </w:r>
      <w:r w:rsidR="006368FE">
        <w:t>documents or information</w:t>
      </w:r>
      <w:r w:rsidR="001F08AE">
        <w:t xml:space="preserve"> </w:t>
      </w:r>
      <w:r w:rsidR="001F08AE" w:rsidRPr="00C15CD9">
        <w:t>in accordance with the taxation laws of Australia in relation to the action</w:t>
      </w:r>
      <w:r w:rsidR="001F08AE">
        <w:t>(s)</w:t>
      </w:r>
      <w:r w:rsidR="00D46EDC">
        <w:t>,</w:t>
      </w:r>
      <w:r w:rsidR="001F08AE" w:rsidRPr="00C15CD9">
        <w:t xml:space="preserve"> and any transactions, operations or assets in connection with assets or operations acquired </w:t>
      </w:r>
      <w:proofErr w:type="gramStart"/>
      <w:r w:rsidR="001F08AE" w:rsidRPr="00C15CD9">
        <w:t>as a result of</w:t>
      </w:r>
      <w:proofErr w:type="gramEnd"/>
      <w:r w:rsidR="001F08AE" w:rsidRPr="00C15CD9">
        <w:t xml:space="preserve"> the action</w:t>
      </w:r>
      <w:r w:rsidR="001F08AE">
        <w:t>(s)</w:t>
      </w:r>
      <w:r w:rsidR="001F08AE" w:rsidRPr="00C15CD9">
        <w:t>.</w:t>
      </w:r>
    </w:p>
    <w:p w14:paraId="40232EA6" w14:textId="77777777" w:rsidR="00FD10A9" w:rsidRDefault="00FD10A9" w:rsidP="00FD10A9">
      <w:r>
        <w:t>The Applicant would be required to:</w:t>
      </w:r>
    </w:p>
    <w:p w14:paraId="20C17E88" w14:textId="77777777" w:rsidR="00FD10A9" w:rsidRDefault="00FD10A9" w:rsidP="00DE4ACE">
      <w:pPr>
        <w:pStyle w:val="Bullet"/>
        <w:numPr>
          <w:ilvl w:val="0"/>
          <w:numId w:val="9"/>
        </w:numPr>
      </w:pPr>
      <w:r>
        <w:t xml:space="preserve">Provide the information within the timeframe specified by the ATO unless otherwise </w:t>
      </w:r>
      <w:proofErr w:type="gramStart"/>
      <w:r>
        <w:t>agreed;</w:t>
      </w:r>
      <w:proofErr w:type="gramEnd"/>
    </w:p>
    <w:p w14:paraId="3A1FF449" w14:textId="77777777" w:rsidR="00FD10A9" w:rsidRDefault="00FD10A9" w:rsidP="00DE4ACE">
      <w:pPr>
        <w:pStyle w:val="Bullet"/>
        <w:numPr>
          <w:ilvl w:val="0"/>
          <w:numId w:val="9"/>
        </w:numPr>
      </w:pPr>
      <w:r>
        <w:t>Ensure complete and up to date information is provided in relation to the action(s</w:t>
      </w:r>
      <w:proofErr w:type="gramStart"/>
      <w:r>
        <w:t>);</w:t>
      </w:r>
      <w:proofErr w:type="gramEnd"/>
    </w:p>
    <w:p w14:paraId="76EB55EE" w14:textId="77777777" w:rsidR="00FD10A9" w:rsidRPr="009D79EB" w:rsidRDefault="00FD10A9" w:rsidP="00DE4ACE">
      <w:pPr>
        <w:pStyle w:val="Bullet"/>
        <w:numPr>
          <w:ilvl w:val="0"/>
          <w:numId w:val="9"/>
        </w:numPr>
      </w:pPr>
      <w:r>
        <w:t xml:space="preserve">Advise on any </w:t>
      </w:r>
      <w:r w:rsidRPr="009D79EB">
        <w:t>changes to the proposal upon implementation; and</w:t>
      </w:r>
    </w:p>
    <w:p w14:paraId="3D4C7B41" w14:textId="77777777" w:rsidR="00FD10A9" w:rsidRDefault="00FD10A9" w:rsidP="00DE4ACE">
      <w:pPr>
        <w:pStyle w:val="Bullet"/>
        <w:numPr>
          <w:ilvl w:val="0"/>
          <w:numId w:val="9"/>
        </w:numPr>
      </w:pPr>
      <w:r w:rsidRPr="009D79EB">
        <w:t>Confirm when the transaction(s) is implemented and</w:t>
      </w:r>
      <w:r>
        <w:t xml:space="preserve"> if implemented as advised.</w:t>
      </w:r>
    </w:p>
    <w:p w14:paraId="3A2146C1" w14:textId="77777777" w:rsidR="00FD10A9" w:rsidRDefault="00FD10A9" w:rsidP="00FD10A9">
      <w:r w:rsidRPr="00C15CD9">
        <w:t xml:space="preserve">The Applicant </w:t>
      </w:r>
      <w:r>
        <w:t xml:space="preserve">would also be required to </w:t>
      </w:r>
      <w:r w:rsidRPr="00C15CD9">
        <w:t>use its best endeavours to ensure, and within its powers ensure, that entities in its control group</w:t>
      </w:r>
      <w:r>
        <w:t xml:space="preserve"> comply with equivalent requirements.</w:t>
      </w:r>
    </w:p>
    <w:p w14:paraId="58053F44" w14:textId="5AF6241B" w:rsidR="007E327E" w:rsidRDefault="007E327E" w:rsidP="007E327E">
      <w:pPr>
        <w:pStyle w:val="Heading4"/>
      </w:pPr>
      <w:r>
        <w:t xml:space="preserve">Restructures / Reorganisations </w:t>
      </w:r>
    </w:p>
    <w:p w14:paraId="5C58EFDD" w14:textId="77777777" w:rsidR="007E327E" w:rsidRDefault="007E327E" w:rsidP="007E327E">
      <w:pPr>
        <w:spacing w:line="259" w:lineRule="auto"/>
        <w:rPr>
          <w:rFonts w:eastAsia="Calibri Light"/>
        </w:rPr>
      </w:pPr>
      <w:r w:rsidRPr="00C512C5">
        <w:rPr>
          <w:rFonts w:eastAsia="Calibri Light"/>
        </w:rPr>
        <w:t xml:space="preserve">Where </w:t>
      </w:r>
      <w:r>
        <w:rPr>
          <w:rFonts w:eastAsia="Calibri Light"/>
        </w:rPr>
        <w:t xml:space="preserve">a </w:t>
      </w:r>
      <w:r w:rsidRPr="00C512C5">
        <w:rPr>
          <w:rFonts w:eastAsia="Calibri Light"/>
        </w:rPr>
        <w:t xml:space="preserve">proposed acquisition contains steps that </w:t>
      </w:r>
      <w:r>
        <w:rPr>
          <w:rFonts w:eastAsia="Calibri Light"/>
        </w:rPr>
        <w:t>form part of, or are in connection with, a b</w:t>
      </w:r>
      <w:r w:rsidRPr="00C512C5">
        <w:rPr>
          <w:rFonts w:eastAsia="Calibri Light"/>
        </w:rPr>
        <w:t xml:space="preserve">roader global </w:t>
      </w:r>
      <w:r>
        <w:rPr>
          <w:rFonts w:eastAsia="Calibri Light"/>
        </w:rPr>
        <w:t xml:space="preserve">restructure or </w:t>
      </w:r>
      <w:r w:rsidRPr="00C512C5">
        <w:rPr>
          <w:rFonts w:eastAsia="Calibri Light"/>
        </w:rPr>
        <w:t xml:space="preserve">reorganisation, </w:t>
      </w:r>
      <w:r>
        <w:rPr>
          <w:rFonts w:eastAsia="Calibri Light"/>
        </w:rPr>
        <w:t xml:space="preserve">conditions may require provision of </w:t>
      </w:r>
      <w:r w:rsidRPr="00C512C5">
        <w:rPr>
          <w:rFonts w:eastAsia="Calibri Light"/>
        </w:rPr>
        <w:t>diagrams</w:t>
      </w:r>
      <w:r>
        <w:rPr>
          <w:rFonts w:eastAsia="Calibri Light"/>
        </w:rPr>
        <w:t xml:space="preserve"> </w:t>
      </w:r>
      <w:r w:rsidRPr="00C512C5">
        <w:rPr>
          <w:rFonts w:eastAsia="Calibri Light"/>
        </w:rPr>
        <w:t>and details about</w:t>
      </w:r>
      <w:r>
        <w:rPr>
          <w:rFonts w:eastAsia="Calibri Light"/>
        </w:rPr>
        <w:t xml:space="preserve"> global steps including: </w:t>
      </w:r>
    </w:p>
    <w:p w14:paraId="5AF6E905" w14:textId="77777777" w:rsidR="007E327E" w:rsidRPr="00C512C5" w:rsidRDefault="007E327E" w:rsidP="00DE4ACE">
      <w:pPr>
        <w:pStyle w:val="ListParagraph"/>
        <w:numPr>
          <w:ilvl w:val="0"/>
          <w:numId w:val="9"/>
        </w:numPr>
        <w:spacing w:line="259" w:lineRule="auto"/>
      </w:pPr>
      <w:r>
        <w:rPr>
          <w:rFonts w:eastAsia="Calibri Light"/>
        </w:rPr>
        <w:t xml:space="preserve">Pre and post transactions and structures. </w:t>
      </w:r>
    </w:p>
    <w:p w14:paraId="4D5648B2" w14:textId="77777777" w:rsidR="007E327E" w:rsidRPr="00C512C5" w:rsidRDefault="007E327E" w:rsidP="00DE4ACE">
      <w:pPr>
        <w:pStyle w:val="ListParagraph"/>
        <w:numPr>
          <w:ilvl w:val="0"/>
          <w:numId w:val="9"/>
        </w:numPr>
        <w:spacing w:line="259" w:lineRule="auto"/>
      </w:pPr>
      <w:r>
        <w:rPr>
          <w:rFonts w:eastAsia="Calibri Light"/>
        </w:rPr>
        <w:t>Flow of funds.</w:t>
      </w:r>
    </w:p>
    <w:p w14:paraId="022FB361" w14:textId="77777777" w:rsidR="007E327E" w:rsidRDefault="007E327E" w:rsidP="00DE4ACE">
      <w:pPr>
        <w:pStyle w:val="ListParagraph"/>
        <w:numPr>
          <w:ilvl w:val="0"/>
          <w:numId w:val="9"/>
        </w:numPr>
        <w:spacing w:line="259" w:lineRule="auto"/>
        <w:rPr>
          <w:rFonts w:eastAsia="Calibri Light"/>
        </w:rPr>
      </w:pPr>
      <w:r w:rsidRPr="00CB35E8">
        <w:rPr>
          <w:rFonts w:eastAsia="Calibri Light"/>
        </w:rPr>
        <w:t>Management and/or tax residency of parties to the steps.</w:t>
      </w:r>
    </w:p>
    <w:p w14:paraId="7B013420" w14:textId="77777777" w:rsidR="007E327E" w:rsidRPr="00CB35E8" w:rsidRDefault="007E327E" w:rsidP="00DE4ACE">
      <w:pPr>
        <w:pStyle w:val="ListParagraph"/>
        <w:numPr>
          <w:ilvl w:val="0"/>
          <w:numId w:val="9"/>
        </w:numPr>
        <w:spacing w:line="259" w:lineRule="auto"/>
        <w:rPr>
          <w:rFonts w:eastAsia="Calibri Light"/>
        </w:rPr>
      </w:pPr>
      <w:r>
        <w:rPr>
          <w:rFonts w:eastAsia="Calibri Light"/>
        </w:rPr>
        <w:t>Details of the tax consequences of the steps.</w:t>
      </w:r>
    </w:p>
    <w:p w14:paraId="36E129B4" w14:textId="2FD412AD" w:rsidR="00360A4C" w:rsidRPr="00360A4C" w:rsidRDefault="00360A4C" w:rsidP="004843A8">
      <w:pPr>
        <w:pStyle w:val="Heading4"/>
      </w:pPr>
      <w:r w:rsidRPr="00360A4C">
        <w:t xml:space="preserve">Thin Capitalisation </w:t>
      </w:r>
    </w:p>
    <w:p w14:paraId="7709B96D" w14:textId="75DD3BC7" w:rsidR="00360A4C" w:rsidRDefault="00360A4C" w:rsidP="00360A4C">
      <w:pPr>
        <w:rPr>
          <w:rFonts w:eastAsiaTheme="minorHAnsi" w:cs="Calibri Light"/>
        </w:rPr>
      </w:pPr>
      <w:r>
        <w:rPr>
          <w:rFonts w:cs="Calibri Light"/>
        </w:rPr>
        <w:t>Where a proposed acquisition involves an entity that</w:t>
      </w:r>
      <w:r>
        <w:rPr>
          <w:rFonts w:cs="Calibri Light"/>
          <w:color w:val="0000FF"/>
        </w:rPr>
        <w:t xml:space="preserve"> </w:t>
      </w:r>
      <w:r>
        <w:rPr>
          <w:rFonts w:cs="Calibri Light"/>
        </w:rPr>
        <w:t xml:space="preserve">is subject to the thin capitalisation rules, </w:t>
      </w:r>
      <w:r w:rsidR="00AE27ED">
        <w:rPr>
          <w:rFonts w:cs="Calibri Light"/>
        </w:rPr>
        <w:t xml:space="preserve">conditions may require </w:t>
      </w:r>
      <w:r>
        <w:rPr>
          <w:rFonts w:cs="Calibri Light"/>
        </w:rPr>
        <w:t>provision of the following:</w:t>
      </w:r>
    </w:p>
    <w:p w14:paraId="4B1B7F09" w14:textId="434B45B1" w:rsidR="00360A4C" w:rsidRPr="009A0C2C" w:rsidRDefault="00360A4C" w:rsidP="00DE4ACE">
      <w:pPr>
        <w:pStyle w:val="ListParagraph"/>
        <w:numPr>
          <w:ilvl w:val="0"/>
          <w:numId w:val="9"/>
        </w:numPr>
      </w:pPr>
      <w:r>
        <w:rPr>
          <w:rFonts w:cs="Calibri Light"/>
        </w:rPr>
        <w:lastRenderedPageBreak/>
        <w:t xml:space="preserve">Details of </w:t>
      </w:r>
      <w:r w:rsidRPr="009A0C2C">
        <w:t xml:space="preserve">that entity’s choice of method (for the income year in which the action arises) for the purpose of determining their respective earnings limit or maximum allowable debt, including information that clarifies circumstances and arrangements relevant to that entity’s choice. </w:t>
      </w:r>
    </w:p>
    <w:p w14:paraId="78E56098" w14:textId="77777777" w:rsidR="00360A4C" w:rsidRPr="009A0C2C" w:rsidRDefault="00360A4C" w:rsidP="00DE4ACE">
      <w:pPr>
        <w:pStyle w:val="ListParagraph"/>
        <w:numPr>
          <w:ilvl w:val="0"/>
          <w:numId w:val="9"/>
        </w:numPr>
      </w:pPr>
      <w:r w:rsidRPr="009A0C2C">
        <w:t>Where related party debt has been issued as part of the acquisition, information relating to the use of the related party debt. This includes information such as related party payments and transactions.</w:t>
      </w:r>
    </w:p>
    <w:p w14:paraId="12B7AFBE" w14:textId="4141A26E" w:rsidR="00360A4C" w:rsidRDefault="00360A4C" w:rsidP="00DE4ACE">
      <w:pPr>
        <w:pStyle w:val="ListParagraph"/>
        <w:numPr>
          <w:ilvl w:val="0"/>
          <w:numId w:val="9"/>
        </w:numPr>
        <w:rPr>
          <w:rFonts w:cs="Calibri Light"/>
        </w:rPr>
      </w:pPr>
      <w:r w:rsidRPr="009A0C2C">
        <w:t xml:space="preserve">Where there is an allocation of </w:t>
      </w:r>
      <w:r w:rsidR="00F672CC" w:rsidRPr="009A0C2C">
        <w:t>third-party</w:t>
      </w:r>
      <w:r w:rsidRPr="009A0C2C">
        <w:t xml:space="preserve"> debt to an Australian entity in the context of a global acquisition, information relating</w:t>
      </w:r>
      <w:r>
        <w:rPr>
          <w:rFonts w:cs="Calibri Light"/>
        </w:rPr>
        <w:t xml:space="preserve"> to the use of the </w:t>
      </w:r>
      <w:proofErr w:type="gramStart"/>
      <w:r>
        <w:rPr>
          <w:rFonts w:cs="Calibri Light"/>
        </w:rPr>
        <w:t>third party</w:t>
      </w:r>
      <w:proofErr w:type="gramEnd"/>
      <w:r>
        <w:rPr>
          <w:rFonts w:cs="Calibri Light"/>
        </w:rPr>
        <w:t xml:space="preserve"> debt in Australia.</w:t>
      </w:r>
    </w:p>
    <w:p w14:paraId="5A7A53D1" w14:textId="77777777" w:rsidR="007E327E" w:rsidRDefault="007E327E" w:rsidP="007E327E">
      <w:pPr>
        <w:pStyle w:val="Heading4"/>
      </w:pPr>
      <w:r>
        <w:t xml:space="preserve">Financing </w:t>
      </w:r>
    </w:p>
    <w:p w14:paraId="21EE5B4F" w14:textId="77777777" w:rsidR="007E327E" w:rsidRDefault="007E327E" w:rsidP="007E327E">
      <w:r>
        <w:t xml:space="preserve">Where a proposed acquisition involves related party debt financing, conditions may require provision of the following: </w:t>
      </w:r>
    </w:p>
    <w:p w14:paraId="5031AC22" w14:textId="77777777" w:rsidR="007E327E" w:rsidRDefault="007E327E" w:rsidP="00DE4ACE">
      <w:pPr>
        <w:pStyle w:val="ListParagraph"/>
        <w:numPr>
          <w:ilvl w:val="0"/>
          <w:numId w:val="9"/>
        </w:numPr>
      </w:pPr>
      <w:r>
        <w:t xml:space="preserve">Details of counterparties, key terms and conditions, legal characterisation, tax treatment (e.g., treatment under Division 974 of the </w:t>
      </w:r>
      <w:r w:rsidRPr="004843A8">
        <w:rPr>
          <w:i/>
        </w:rPr>
        <w:t>Income Tax Assessment Act 1997</w:t>
      </w:r>
      <w:r>
        <w:t xml:space="preserve">). </w:t>
      </w:r>
    </w:p>
    <w:p w14:paraId="1CA5644D" w14:textId="77777777" w:rsidR="007E327E" w:rsidRDefault="007E327E" w:rsidP="00DE4ACE">
      <w:pPr>
        <w:pStyle w:val="ListParagraph"/>
        <w:numPr>
          <w:ilvl w:val="0"/>
          <w:numId w:val="9"/>
        </w:numPr>
      </w:pPr>
      <w:r>
        <w:t>Transfer pricing documentation.</w:t>
      </w:r>
    </w:p>
    <w:p w14:paraId="1005B08C" w14:textId="77777777" w:rsidR="007E327E" w:rsidRDefault="007E327E" w:rsidP="00DE4ACE">
      <w:pPr>
        <w:pStyle w:val="ListParagraph"/>
        <w:numPr>
          <w:ilvl w:val="0"/>
          <w:numId w:val="9"/>
        </w:numPr>
      </w:pPr>
      <w:r>
        <w:t xml:space="preserve">Australian and overseas tax treatment of any distribution or interest payment made by an Australian entity to an investor or non-resident associate after the proposed acquisition. </w:t>
      </w:r>
    </w:p>
    <w:p w14:paraId="4552A4C7" w14:textId="77777777" w:rsidR="007E327E" w:rsidRDefault="007E327E" w:rsidP="00DE4ACE">
      <w:pPr>
        <w:pStyle w:val="ListParagraph"/>
        <w:numPr>
          <w:ilvl w:val="0"/>
          <w:numId w:val="9"/>
        </w:numPr>
      </w:pPr>
      <w:r>
        <w:t>Details of any associated related party derivative arrangements.</w:t>
      </w:r>
    </w:p>
    <w:p w14:paraId="63D6855D" w14:textId="297EEFC0" w:rsidR="004E2344" w:rsidRPr="00426B3E" w:rsidRDefault="004E2344" w:rsidP="004E2344">
      <w:pPr>
        <w:pStyle w:val="Heading4"/>
      </w:pPr>
      <w:r w:rsidRPr="00426B3E">
        <w:t>Private Equity</w:t>
      </w:r>
      <w:r w:rsidR="00CB639A">
        <w:t xml:space="preserve"> / Private Capital</w:t>
      </w:r>
      <w:r w:rsidRPr="00426B3E">
        <w:t xml:space="preserve"> </w:t>
      </w:r>
    </w:p>
    <w:p w14:paraId="782CF0C8" w14:textId="706C0F57" w:rsidR="000760BD" w:rsidRPr="000760BD" w:rsidRDefault="007254FA" w:rsidP="000760BD">
      <w:pPr>
        <w:pStyle w:val="pf0"/>
        <w:rPr>
          <w:rFonts w:ascii="Calibri Light" w:eastAsia="Calibri Light" w:hAnsi="Calibri Light" w:cs="Times New Roman"/>
          <w:szCs w:val="20"/>
        </w:rPr>
      </w:pPr>
      <w:r>
        <w:rPr>
          <w:rFonts w:ascii="Calibri Light" w:eastAsia="Calibri Light" w:hAnsi="Calibri Light" w:cs="Times New Roman"/>
          <w:szCs w:val="20"/>
        </w:rPr>
        <w:t xml:space="preserve">Where the </w:t>
      </w:r>
      <w:r w:rsidR="000760BD" w:rsidRPr="000760BD">
        <w:rPr>
          <w:rFonts w:ascii="Calibri Light" w:eastAsia="Calibri Light" w:hAnsi="Calibri Light" w:cs="Times New Roman"/>
          <w:szCs w:val="20"/>
        </w:rPr>
        <w:t>applicant</w:t>
      </w:r>
      <w:r>
        <w:rPr>
          <w:rFonts w:ascii="Calibri Light" w:eastAsia="Calibri Light" w:hAnsi="Calibri Light" w:cs="Times New Roman"/>
          <w:szCs w:val="20"/>
        </w:rPr>
        <w:t>(s) is a</w:t>
      </w:r>
      <w:r w:rsidR="000760BD" w:rsidRPr="000760BD">
        <w:rPr>
          <w:rFonts w:ascii="Calibri Light" w:eastAsia="Calibri Light" w:hAnsi="Calibri Light" w:cs="Times New Roman"/>
          <w:szCs w:val="20"/>
        </w:rPr>
        <w:t xml:space="preserve"> Private Equity fund</w:t>
      </w:r>
      <w:r>
        <w:rPr>
          <w:rFonts w:ascii="Calibri Light" w:eastAsia="Calibri Light" w:hAnsi="Calibri Light" w:cs="Times New Roman"/>
          <w:szCs w:val="20"/>
        </w:rPr>
        <w:t xml:space="preserve">, </w:t>
      </w:r>
      <w:r w:rsidR="0074283B">
        <w:rPr>
          <w:rFonts w:ascii="Calibri Light" w:eastAsia="Calibri Light" w:hAnsi="Calibri Light" w:cs="Times New Roman"/>
          <w:szCs w:val="20"/>
        </w:rPr>
        <w:t xml:space="preserve">conditions may require </w:t>
      </w:r>
      <w:r>
        <w:rPr>
          <w:rFonts w:ascii="Calibri Light" w:eastAsia="Calibri Light" w:hAnsi="Calibri Light" w:cs="Times New Roman"/>
          <w:szCs w:val="20"/>
        </w:rPr>
        <w:t>provision of the following</w:t>
      </w:r>
      <w:r w:rsidR="000760BD" w:rsidRPr="000760BD">
        <w:rPr>
          <w:rFonts w:ascii="Calibri Light" w:eastAsia="Calibri Light" w:hAnsi="Calibri Light" w:cs="Times New Roman"/>
          <w:szCs w:val="20"/>
        </w:rPr>
        <w:t xml:space="preserve">: </w:t>
      </w:r>
    </w:p>
    <w:p w14:paraId="1E4D081C" w14:textId="3BB40A18" w:rsidR="007254FA" w:rsidRDefault="007254FA" w:rsidP="00DE4ACE">
      <w:pPr>
        <w:pStyle w:val="ListParagraph"/>
        <w:numPr>
          <w:ilvl w:val="0"/>
          <w:numId w:val="9"/>
        </w:numPr>
        <w:spacing w:line="259" w:lineRule="auto"/>
        <w:rPr>
          <w:rFonts w:eastAsia="Calibri Light"/>
        </w:rPr>
      </w:pPr>
      <w:r>
        <w:rPr>
          <w:rFonts w:eastAsia="Calibri Light"/>
        </w:rPr>
        <w:t>D</w:t>
      </w:r>
      <w:r w:rsidR="000760BD" w:rsidRPr="000760BD">
        <w:rPr>
          <w:rFonts w:eastAsia="Calibri Light"/>
        </w:rPr>
        <w:t xml:space="preserve">etails relating to the disposal and the Australian tax consequences arising from the disposal. </w:t>
      </w:r>
    </w:p>
    <w:p w14:paraId="6FDF1699" w14:textId="63EF29C0" w:rsidR="000760BD" w:rsidRPr="002D20D7" w:rsidRDefault="000760BD" w:rsidP="00DE4ACE">
      <w:pPr>
        <w:pStyle w:val="ListParagraph"/>
        <w:numPr>
          <w:ilvl w:val="0"/>
          <w:numId w:val="9"/>
        </w:numPr>
        <w:spacing w:line="259" w:lineRule="auto"/>
        <w:rPr>
          <w:rFonts w:eastAsia="Calibri Light"/>
        </w:rPr>
      </w:pPr>
      <w:r w:rsidRPr="002D20D7">
        <w:rPr>
          <w:rFonts w:eastAsia="Calibri Light"/>
        </w:rPr>
        <w:t xml:space="preserve">The applicant to engage with the ATO prior to any disposal of the interest resulting from the action. </w:t>
      </w:r>
    </w:p>
    <w:p w14:paraId="21FC0027" w14:textId="0BDEC59A" w:rsidR="005B5763" w:rsidRPr="005B5763" w:rsidRDefault="00323CE0" w:rsidP="005B5763">
      <w:pPr>
        <w:pStyle w:val="Heading4"/>
      </w:pPr>
      <w:r>
        <w:t>C</w:t>
      </w:r>
      <w:r w:rsidR="006B0AF5" w:rsidRPr="005B5763">
        <w:t>ondition</w:t>
      </w:r>
      <w:r>
        <w:t>s Reporting</w:t>
      </w:r>
    </w:p>
    <w:p w14:paraId="4F5CFF61" w14:textId="2DC0B31B" w:rsidR="006B0AF5" w:rsidRPr="005B5763" w:rsidRDefault="006B0AF5" w:rsidP="005B5763">
      <w:r w:rsidRPr="005B5763">
        <w:t>Where there are ongoing concerns with a proposed action</w:t>
      </w:r>
      <w:r w:rsidR="0045096B">
        <w:t>(s)</w:t>
      </w:r>
      <w:r w:rsidRPr="005B5763">
        <w:t>, the Applicant may be subject to</w:t>
      </w:r>
      <w:r w:rsidR="00E55138" w:rsidRPr="005B5763">
        <w:t xml:space="preserve"> a ‘Conditions Reporting’ condition as per below</w:t>
      </w:r>
      <w:r w:rsidRPr="005B5763">
        <w:t>:</w:t>
      </w:r>
    </w:p>
    <w:p w14:paraId="3C07187D" w14:textId="79AA449A" w:rsidR="005B5763" w:rsidRPr="00810C0B" w:rsidRDefault="006B0AF5" w:rsidP="00DE4ACE">
      <w:pPr>
        <w:pStyle w:val="ListParagraph"/>
        <w:numPr>
          <w:ilvl w:val="0"/>
          <w:numId w:val="9"/>
        </w:numPr>
        <w:spacing w:line="259" w:lineRule="auto"/>
        <w:rPr>
          <w:rFonts w:eastAsia="Calibri Light"/>
        </w:rPr>
      </w:pPr>
      <w:r w:rsidRPr="00F12DF7">
        <w:t xml:space="preserve">The Applicant must provide an annual report to the Government on compliance with </w:t>
      </w:r>
      <w:r>
        <w:t xml:space="preserve">its tax </w:t>
      </w:r>
      <w:r w:rsidRPr="00810C0B">
        <w:rPr>
          <w:rFonts w:eastAsia="Calibri Light"/>
        </w:rPr>
        <w:t xml:space="preserve">conditions. In the response, the Applicant must provide the Australian Company Number and/or the </w:t>
      </w:r>
      <w:r w:rsidR="007A087E">
        <w:rPr>
          <w:rFonts w:eastAsia="Calibri Light"/>
        </w:rPr>
        <w:t>ABN</w:t>
      </w:r>
      <w:r w:rsidRPr="00810C0B">
        <w:rPr>
          <w:rFonts w:eastAsia="Calibri Light"/>
        </w:rPr>
        <w:t xml:space="preserve"> of the Australian entity/</w:t>
      </w:r>
      <w:proofErr w:type="spellStart"/>
      <w:r w:rsidRPr="00810C0B">
        <w:rPr>
          <w:rFonts w:eastAsia="Calibri Light"/>
        </w:rPr>
        <w:t>ies</w:t>
      </w:r>
      <w:proofErr w:type="spellEnd"/>
      <w:r w:rsidRPr="00810C0B">
        <w:rPr>
          <w:rFonts w:eastAsia="Calibri Light"/>
        </w:rPr>
        <w:t xml:space="preserve"> used for the proposed transaction where available. </w:t>
      </w:r>
    </w:p>
    <w:p w14:paraId="06BBA032" w14:textId="2446F106" w:rsidR="005B5763" w:rsidRPr="00810C0B" w:rsidRDefault="006B0AF5" w:rsidP="00DE4ACE">
      <w:pPr>
        <w:pStyle w:val="ListParagraph"/>
        <w:numPr>
          <w:ilvl w:val="0"/>
          <w:numId w:val="9"/>
        </w:numPr>
        <w:spacing w:line="259" w:lineRule="auto"/>
        <w:rPr>
          <w:rFonts w:eastAsia="Calibri Light"/>
        </w:rPr>
      </w:pPr>
      <w:r w:rsidRPr="00810C0B">
        <w:rPr>
          <w:rFonts w:eastAsia="Calibri Light"/>
        </w:rPr>
        <w:t>The first report must cover the period from the date the action</w:t>
      </w:r>
      <w:r w:rsidR="0045096B" w:rsidRPr="00810C0B">
        <w:rPr>
          <w:rFonts w:eastAsia="Calibri Light"/>
        </w:rPr>
        <w:t>(s)</w:t>
      </w:r>
      <w:r w:rsidRPr="00810C0B">
        <w:rPr>
          <w:rFonts w:eastAsia="Calibri Light"/>
        </w:rPr>
        <w:t xml:space="preserve"> takes place to the end of the Applicant’s </w:t>
      </w:r>
      <w:r w:rsidR="00F36CB0" w:rsidRPr="00810C0B">
        <w:rPr>
          <w:rFonts w:eastAsia="Calibri Light"/>
        </w:rPr>
        <w:t>income year for tax purposes</w:t>
      </w:r>
      <w:r w:rsidRPr="00810C0B">
        <w:rPr>
          <w:rFonts w:eastAsia="Calibri Light"/>
        </w:rPr>
        <w:t xml:space="preserve">. </w:t>
      </w:r>
      <w:r w:rsidR="003B5487" w:rsidRPr="00810C0B">
        <w:rPr>
          <w:rFonts w:eastAsia="Calibri Light"/>
        </w:rPr>
        <w:t xml:space="preserve">If the action takes place less than 90 days before the end of the first income year, then that period can be incorporated in the next report. </w:t>
      </w:r>
      <w:r w:rsidRPr="00810C0B">
        <w:rPr>
          <w:rFonts w:eastAsia="Calibri Light"/>
        </w:rPr>
        <w:t xml:space="preserve">All subsequent reports must cover the Applicant’s </w:t>
      </w:r>
      <w:r w:rsidR="00164E97" w:rsidRPr="00810C0B">
        <w:rPr>
          <w:rFonts w:eastAsia="Calibri Light"/>
        </w:rPr>
        <w:t>income year for tax purposes</w:t>
      </w:r>
      <w:r w:rsidR="003B5487" w:rsidRPr="00810C0B">
        <w:rPr>
          <w:rFonts w:eastAsia="Calibri Light"/>
        </w:rPr>
        <w:t xml:space="preserve">. </w:t>
      </w:r>
      <w:r w:rsidRPr="00810C0B">
        <w:rPr>
          <w:rFonts w:eastAsia="Calibri Light"/>
        </w:rPr>
        <w:t>Each report must be provided by the due date for lodgement of the Applicant</w:t>
      </w:r>
      <w:r w:rsidR="00164E97" w:rsidRPr="00810C0B">
        <w:rPr>
          <w:rFonts w:eastAsia="Calibri Light"/>
        </w:rPr>
        <w:t>’s tax return for that year</w:t>
      </w:r>
      <w:r w:rsidRPr="00810C0B">
        <w:rPr>
          <w:rFonts w:eastAsia="Calibri Light"/>
        </w:rPr>
        <w:t xml:space="preserve">. </w:t>
      </w:r>
    </w:p>
    <w:p w14:paraId="3E2D6371" w14:textId="3756D491" w:rsidR="005B5763" w:rsidRDefault="006B0AF5" w:rsidP="008E27BD">
      <w:pPr>
        <w:pStyle w:val="ListParagraph"/>
        <w:numPr>
          <w:ilvl w:val="0"/>
          <w:numId w:val="9"/>
        </w:numPr>
        <w:spacing w:line="259" w:lineRule="auto"/>
      </w:pPr>
      <w:r w:rsidRPr="00810C0B">
        <w:rPr>
          <w:rFonts w:eastAsia="Calibri Light"/>
        </w:rPr>
        <w:lastRenderedPageBreak/>
        <w:t>The Applicant’s obligation to lodge annual reports will be terminated where the Applicant has lodged</w:t>
      </w:r>
      <w:r>
        <w:t xml:space="preserve"> 3 annual reports since the relevant action</w:t>
      </w:r>
      <w:r w:rsidR="00B66595">
        <w:t>(s)</w:t>
      </w:r>
      <w:r>
        <w:t xml:space="preserve"> has been </w:t>
      </w:r>
      <w:r w:rsidRPr="008E27BD">
        <w:rPr>
          <w:rFonts w:eastAsia="Calibri Light"/>
        </w:rPr>
        <w:t>completed</w:t>
      </w:r>
      <w:r>
        <w:t xml:space="preserve">. Where the Applicant proposes to undertake a program of actions, then the obligation will be terminated on </w:t>
      </w:r>
      <w:r w:rsidR="008F0EBB">
        <w:t>lodgement</w:t>
      </w:r>
      <w:r>
        <w:t xml:space="preserve"> of 3 annual reports after the final </w:t>
      </w:r>
      <w:r w:rsidRPr="001C0E37">
        <w:t>action.</w:t>
      </w:r>
      <w:r w:rsidR="001C0E37" w:rsidRPr="001C0E37">
        <w:t xml:space="preserve"> </w:t>
      </w:r>
      <w:r w:rsidR="001F7267" w:rsidRPr="001C0E37">
        <w:t xml:space="preserve">The termination of this condition </w:t>
      </w:r>
      <w:r w:rsidR="000326BF" w:rsidRPr="001C0E37">
        <w:t xml:space="preserve">does not </w:t>
      </w:r>
      <w:r w:rsidR="00BC0570" w:rsidRPr="001C0E37">
        <w:t xml:space="preserve">change </w:t>
      </w:r>
      <w:r w:rsidR="00781B94" w:rsidRPr="001C0E37">
        <w:t xml:space="preserve">the Applicant’s </w:t>
      </w:r>
      <w:r w:rsidR="00156E1A" w:rsidRPr="001C0E37">
        <w:t xml:space="preserve">obligations under </w:t>
      </w:r>
      <w:r w:rsidR="00BC0570" w:rsidRPr="001C0E37">
        <w:t>other conditions which may be in effect.</w:t>
      </w:r>
    </w:p>
    <w:p w14:paraId="3FA2DE28" w14:textId="6FC3B0CE" w:rsidR="00E55138" w:rsidRDefault="00E55138" w:rsidP="005B5763">
      <w:r>
        <w:t xml:space="preserve">Further information on reporting to the Government on compliance with conditions can be found in the </w:t>
      </w:r>
      <w:r w:rsidRPr="63867385">
        <w:rPr>
          <w:i/>
          <w:iCs/>
        </w:rPr>
        <w:t>Conditions Reporting</w:t>
      </w:r>
      <w:r>
        <w:t xml:space="preserve"> Guidance Note.</w:t>
      </w:r>
    </w:p>
    <w:p w14:paraId="23484E0F" w14:textId="77777777" w:rsidR="007E5D03" w:rsidRPr="007E5D03" w:rsidRDefault="007E5D03" w:rsidP="007E5D03">
      <w:pPr>
        <w:rPr>
          <w:rFonts w:ascii="Calibri" w:hAnsi="Calibri"/>
        </w:rPr>
      </w:pPr>
      <w:r w:rsidRPr="007E5D03">
        <w:t xml:space="preserve">The Treasurer may also request the ATO’s view of whether, or to what extent, the Applicant has satisfied its condition reporting including how effectively documents or information are being provided to the ATO. </w:t>
      </w:r>
    </w:p>
    <w:p w14:paraId="76C149C7" w14:textId="77777777" w:rsidR="00136ED0" w:rsidRPr="00C15CD9" w:rsidRDefault="00136ED0" w:rsidP="000F5D59">
      <w:pPr>
        <w:pStyle w:val="Heading2"/>
      </w:pPr>
      <w:bookmarkStart w:id="14" w:name="_Toc164179443"/>
      <w:bookmarkStart w:id="15" w:name="_Toc75967413"/>
      <w:bookmarkStart w:id="16" w:name="_Toc191384260"/>
      <w:r w:rsidRPr="00C15CD9">
        <w:t>E: What is the effect of the conditions?</w:t>
      </w:r>
      <w:bookmarkEnd w:id="14"/>
      <w:bookmarkEnd w:id="15"/>
      <w:bookmarkEnd w:id="16"/>
    </w:p>
    <w:p w14:paraId="39681894" w14:textId="0B956A5A" w:rsidR="00136ED0" w:rsidRPr="00C15CD9" w:rsidRDefault="00136ED0" w:rsidP="000F5D59">
      <w:r w:rsidRPr="00C15CD9">
        <w:t xml:space="preserve">In </w:t>
      </w:r>
      <w:r w:rsidR="004C5926">
        <w:t xml:space="preserve">response to </w:t>
      </w:r>
      <w:proofErr w:type="gramStart"/>
      <w:r w:rsidRPr="00C15CD9">
        <w:t>particular tax</w:t>
      </w:r>
      <w:proofErr w:type="gramEnd"/>
      <w:r w:rsidRPr="00C15CD9">
        <w:t xml:space="preserve"> risk</w:t>
      </w:r>
      <w:r w:rsidR="00357AB3">
        <w:t>s</w:t>
      </w:r>
      <w:r w:rsidRPr="00C15CD9">
        <w:t xml:space="preserve"> some conditions may impose </w:t>
      </w:r>
      <w:r w:rsidR="00A8482A">
        <w:t xml:space="preserve">specific </w:t>
      </w:r>
      <w:r w:rsidRPr="00C15CD9">
        <w:t xml:space="preserve">obligations. These may include requiring the investor (and/or its associates) to supply certain information, </w:t>
      </w:r>
      <w:r w:rsidR="00863424">
        <w:t xml:space="preserve">notify the ATO of certain events, to engage with the ATO about </w:t>
      </w:r>
      <w:proofErr w:type="gramStart"/>
      <w:r w:rsidR="00863424">
        <w:t>particular risks</w:t>
      </w:r>
      <w:proofErr w:type="gramEnd"/>
      <w:r w:rsidR="004F37E2">
        <w:t xml:space="preserve">, </w:t>
      </w:r>
      <w:r w:rsidRPr="00C15CD9">
        <w:t xml:space="preserve">to enter into good faith negotiations with the ATO or to take other action to resolve tax issues. These may not necessarily be required to be completed in order for a no objection notification </w:t>
      </w:r>
      <w:r w:rsidR="002D0B33">
        <w:t xml:space="preserve">or exemption certificate </w:t>
      </w:r>
      <w:r w:rsidRPr="00C15CD9">
        <w:t xml:space="preserve">to be </w:t>
      </w:r>
      <w:proofErr w:type="gramStart"/>
      <w:r w:rsidRPr="00C15CD9">
        <w:t>given, but</w:t>
      </w:r>
      <w:proofErr w:type="gramEnd"/>
      <w:r w:rsidRPr="00C15CD9">
        <w:t xml:space="preserve"> may be required within a certain timeframe after</w:t>
      </w:r>
      <w:r w:rsidR="003374F2">
        <w:t xml:space="preserve"> the transaction being undertaken</w:t>
      </w:r>
      <w:r w:rsidRPr="00C15CD9">
        <w:t>.</w:t>
      </w:r>
    </w:p>
    <w:p w14:paraId="6983B8B6" w14:textId="77777777" w:rsidR="00136ED0" w:rsidRPr="00C15CD9" w:rsidRDefault="00136ED0" w:rsidP="000F5D59">
      <w:r w:rsidRPr="00C15CD9">
        <w:t>Regardless of whether any conditions are imposed, all obligations under Australian tax law must be met.</w:t>
      </w:r>
    </w:p>
    <w:p w14:paraId="11B6AB7B" w14:textId="08229224" w:rsidR="00A910D5" w:rsidRDefault="00A910D5" w:rsidP="00A910D5">
      <w:pPr>
        <w:pStyle w:val="Heading2"/>
      </w:pPr>
      <w:bookmarkStart w:id="17" w:name="_Toc191384261"/>
      <w:r>
        <w:t>F: Consequences of non</w:t>
      </w:r>
      <w:r>
        <w:noBreakHyphen/>
        <w:t>compliance with conditions</w:t>
      </w:r>
      <w:bookmarkEnd w:id="17"/>
    </w:p>
    <w:p w14:paraId="76EED3C3" w14:textId="056DFB68" w:rsidR="00920717" w:rsidRDefault="00A910D5" w:rsidP="000F5D59">
      <w:r>
        <w:t>Conditions imposed on f</w:t>
      </w:r>
      <w:r w:rsidR="00136ED0" w:rsidRPr="00C15CD9">
        <w:t xml:space="preserve">oreign investors </w:t>
      </w:r>
      <w:r w:rsidR="004725F4">
        <w:t>as</w:t>
      </w:r>
      <w:r>
        <w:t xml:space="preserve"> part of a no objection notification or exemption certificate </w:t>
      </w:r>
      <w:r w:rsidR="00BE09B9">
        <w:t>are legally binding and must be complied with.</w:t>
      </w:r>
      <w:r w:rsidR="00136ED0" w:rsidRPr="00C15CD9">
        <w:t xml:space="preserve"> </w:t>
      </w:r>
    </w:p>
    <w:p w14:paraId="0C950EC9" w14:textId="262FAEA3" w:rsidR="00920717" w:rsidRPr="00C15CD9" w:rsidRDefault="004E491A" w:rsidP="000F5D59">
      <w:r>
        <w:t xml:space="preserve">Maintaining strong compliance with Australia’s foreign investment legislation is a priority for the Government. Failure to comply with Australia’s foreign investment legislation – including tax conditions – can result in significant penalties, including </w:t>
      </w:r>
      <w:r w:rsidR="002E2185">
        <w:t xml:space="preserve">enforceable undertakings, direction orders, </w:t>
      </w:r>
      <w:r>
        <w:t>infringement notices, civil and criminal penalties</w:t>
      </w:r>
      <w:r w:rsidR="00527A73">
        <w:t>.</w:t>
      </w:r>
      <w:r w:rsidR="00F84BC3" w:rsidRPr="00624280">
        <w:t xml:space="preserve"> The ATO and Treasury work together and share information to carry out their roles as administrators of </w:t>
      </w:r>
      <w:r w:rsidR="00845061">
        <w:t xml:space="preserve">Australian </w:t>
      </w:r>
      <w:r w:rsidR="00F84BC3" w:rsidRPr="00624280">
        <w:t>tax</w:t>
      </w:r>
      <w:r w:rsidR="00DE420C">
        <w:t>ation law</w:t>
      </w:r>
      <w:r w:rsidR="00845061">
        <w:t>s</w:t>
      </w:r>
      <w:r w:rsidR="00F84BC3" w:rsidRPr="00624280">
        <w:t xml:space="preserve"> and </w:t>
      </w:r>
      <w:r w:rsidR="00845061">
        <w:t xml:space="preserve">the </w:t>
      </w:r>
      <w:r w:rsidR="00F84BC3" w:rsidRPr="00624280">
        <w:t xml:space="preserve">foreign investment </w:t>
      </w:r>
      <w:r w:rsidR="00F11216">
        <w:t xml:space="preserve">framework </w:t>
      </w:r>
      <w:r w:rsidR="00F84BC3" w:rsidRPr="00624280">
        <w:t>respectively.</w:t>
      </w:r>
    </w:p>
    <w:p w14:paraId="7618A60B" w14:textId="77777777" w:rsidR="00C0233C" w:rsidRDefault="00C0233C">
      <w:pPr>
        <w:spacing w:before="0" w:after="0"/>
        <w:rPr>
          <w:rFonts w:ascii="Calibri" w:hAnsi="Calibri" w:cs="Arial"/>
          <w:iCs/>
          <w:color w:val="2C384A"/>
          <w:kern w:val="32"/>
          <w:sz w:val="36"/>
          <w:szCs w:val="28"/>
        </w:rPr>
      </w:pPr>
      <w:bookmarkStart w:id="18" w:name="_Toc164179444"/>
      <w:r>
        <w:br w:type="page"/>
      </w:r>
    </w:p>
    <w:p w14:paraId="4D125EA2" w14:textId="55609A9F" w:rsidR="00136ED0" w:rsidRPr="00C15CD9" w:rsidRDefault="00130E84" w:rsidP="000F5D59">
      <w:pPr>
        <w:pStyle w:val="Heading2"/>
      </w:pPr>
      <w:bookmarkStart w:id="19" w:name="_Toc191384262"/>
      <w:r>
        <w:lastRenderedPageBreak/>
        <w:t>G</w:t>
      </w:r>
      <w:r w:rsidR="00136ED0" w:rsidRPr="00C15CD9">
        <w:t>: Further information</w:t>
      </w:r>
      <w:bookmarkEnd w:id="19"/>
      <w:r w:rsidR="00136ED0" w:rsidRPr="00C15CD9">
        <w:t xml:space="preserve"> </w:t>
      </w:r>
      <w:bookmarkEnd w:id="18"/>
    </w:p>
    <w:p w14:paraId="5C77BA69" w14:textId="29663695" w:rsidR="00136ED0" w:rsidRPr="00C15CD9" w:rsidRDefault="00567E90" w:rsidP="000F5D59">
      <w:pPr>
        <w:pStyle w:val="Heading3"/>
      </w:pPr>
      <w:r>
        <w:t>P</w:t>
      </w:r>
      <w:r w:rsidR="00136ED0" w:rsidRPr="00C15CD9">
        <w:t>rovid</w:t>
      </w:r>
      <w:r>
        <w:t>ing</w:t>
      </w:r>
      <w:r w:rsidR="00136ED0" w:rsidRPr="00C15CD9">
        <w:t xml:space="preserve"> documents or information requested by the ATO</w:t>
      </w:r>
    </w:p>
    <w:p w14:paraId="78372FC6" w14:textId="0F8D7759" w:rsidR="00136ED0" w:rsidRPr="00C15CD9" w:rsidRDefault="00136ED0" w:rsidP="000F5D59">
      <w:r w:rsidRPr="00C15CD9">
        <w:t xml:space="preserve">To ensure that an action does not give rise to or have ongoing tax issues that would make it contrary to the national interest, conditions </w:t>
      </w:r>
      <w:r w:rsidR="002D26AA">
        <w:t xml:space="preserve">may </w:t>
      </w:r>
      <w:r w:rsidRPr="00C15CD9">
        <w:t xml:space="preserve">require that information that is </w:t>
      </w:r>
      <w:r w:rsidR="00645526">
        <w:t xml:space="preserve">reasonably </w:t>
      </w:r>
      <w:r w:rsidRPr="00C15CD9">
        <w:t>requested by the ATO</w:t>
      </w:r>
      <w:r w:rsidR="001765EC">
        <w:t>,</w:t>
      </w:r>
      <w:r w:rsidR="00645526">
        <w:t xml:space="preserve"> including </w:t>
      </w:r>
      <w:r w:rsidR="00645526" w:rsidRPr="00C15CD9">
        <w:t>in accordance with the taxation laws of Australia</w:t>
      </w:r>
      <w:r w:rsidRPr="00C15CD9">
        <w:t>, must be provided to the ATO within the timeframe specified by the ATO.</w:t>
      </w:r>
    </w:p>
    <w:p w14:paraId="7830B2C4" w14:textId="4387ADF8" w:rsidR="00136ED0" w:rsidRDefault="00136ED0" w:rsidP="000F5D59">
      <w:r w:rsidRPr="00C15CD9">
        <w:t>Compliance with conditions does not require the investor to waive any common law or statutory rights or privileges, or the accountant</w:t>
      </w:r>
      <w:r w:rsidR="000F5D59">
        <w:t>’</w:t>
      </w:r>
      <w:r w:rsidRPr="00C15CD9">
        <w:t>s concession as provided in the ATO</w:t>
      </w:r>
      <w:r w:rsidR="000F5D59">
        <w:t>’</w:t>
      </w:r>
      <w:r w:rsidRPr="00C15CD9">
        <w:t>s access guidelines.</w:t>
      </w:r>
    </w:p>
    <w:p w14:paraId="47BF5BC8" w14:textId="41283B84" w:rsidR="00E55138" w:rsidRDefault="00E822B7" w:rsidP="000F5D59">
      <w:r>
        <w:t>Conditions may</w:t>
      </w:r>
      <w:r w:rsidR="00E55138">
        <w:t xml:space="preserve"> extend to the investor making best endeavours to ensure that the investor’s control group also provides information as is reasonably requested by the ATO</w:t>
      </w:r>
      <w:r w:rsidR="00AC19AA">
        <w:t xml:space="preserve"> including </w:t>
      </w:r>
      <w:r w:rsidR="00AC19AA" w:rsidRPr="00C15CD9">
        <w:t>in accordance with the taxation laws of Australia</w:t>
      </w:r>
      <w:r w:rsidR="00E55138">
        <w:t>.</w:t>
      </w:r>
    </w:p>
    <w:p w14:paraId="2BB7FC63" w14:textId="44DA56CD" w:rsidR="00E55138" w:rsidRPr="00C15CD9" w:rsidRDefault="00E55138" w:rsidP="000F5D59">
      <w:r w:rsidRPr="00C15CD9">
        <w:t xml:space="preserve">See below for the meaning of </w:t>
      </w:r>
      <w:r>
        <w:t>‘control group’ and ‘</w:t>
      </w:r>
      <w:r w:rsidRPr="00C15CD9">
        <w:t>best endeavours</w:t>
      </w:r>
      <w:r>
        <w:t>.’</w:t>
      </w:r>
      <w:r w:rsidRPr="00C15CD9">
        <w:t xml:space="preserve"> </w:t>
      </w:r>
    </w:p>
    <w:p w14:paraId="5C83E912" w14:textId="77777777" w:rsidR="00136ED0" w:rsidRPr="00C15CD9" w:rsidRDefault="00136ED0" w:rsidP="000F5D59">
      <w:pPr>
        <w:pStyle w:val="Heading3"/>
      </w:pPr>
      <w:r w:rsidRPr="00C15CD9">
        <w:t>Meaning of control group and best endeavours</w:t>
      </w:r>
    </w:p>
    <w:p w14:paraId="1F4AC371" w14:textId="77777777" w:rsidR="00136ED0" w:rsidRPr="00C15CD9" w:rsidRDefault="00136ED0" w:rsidP="000F5D59">
      <w:pPr>
        <w:pStyle w:val="Heading4"/>
      </w:pPr>
      <w:r w:rsidRPr="00C15CD9">
        <w:t>Control group</w:t>
      </w:r>
    </w:p>
    <w:p w14:paraId="12389434" w14:textId="2859E037" w:rsidR="00136ED0" w:rsidRPr="0016744A" w:rsidRDefault="00136ED0" w:rsidP="000F5D59">
      <w:r w:rsidRPr="00C15CD9">
        <w:t xml:space="preserve">A control group consists of entities that: control the Applicant (a controller); any entities that a controller controls; and that </w:t>
      </w:r>
      <w:r w:rsidRPr="0016744A">
        <w:t xml:space="preserve">the Applicant controls, which includes for the purposes of these conditions an entity that is the subject of the </w:t>
      </w:r>
      <w:r w:rsidR="000C056D" w:rsidRPr="0016744A">
        <w:t>proposal</w:t>
      </w:r>
      <w:r w:rsidRPr="0016744A">
        <w:t>.</w:t>
      </w:r>
    </w:p>
    <w:p w14:paraId="7E88E3F1" w14:textId="74CBF0AF" w:rsidR="00136ED0" w:rsidRPr="00C15CD9" w:rsidRDefault="00136ED0" w:rsidP="000F5D59">
      <w:r w:rsidRPr="0016744A">
        <w:t xml:space="preserve">Control for this purpose is defined in section 50AA of the </w:t>
      </w:r>
      <w:r w:rsidRPr="0016744A">
        <w:rPr>
          <w:i/>
        </w:rPr>
        <w:t>Corporations Act 2001</w:t>
      </w:r>
      <w:r w:rsidRPr="0016744A">
        <w:t>. Section 50AA refers to the capacity to determine the outcome of decisions about another entity</w:t>
      </w:r>
      <w:r w:rsidR="000F5D59" w:rsidRPr="0016744A">
        <w:t>’</w:t>
      </w:r>
      <w:r w:rsidRPr="0016744A">
        <w:t>s financial and operating policies. It considers practical influence (rather</w:t>
      </w:r>
      <w:r w:rsidRPr="00C15CD9">
        <w:t xml:space="preserve"> than the rights that can be enforced) and practices or patterns of behaviour. It excludes circumstances where an entity has the capacity to influence decisions about another entity</w:t>
      </w:r>
      <w:r w:rsidR="000F5D59">
        <w:t>’</w:t>
      </w:r>
      <w:r w:rsidRPr="00C15CD9">
        <w:t>s financial and operating policies but is under a legal obligation to exercise that capacity for the benefit of someone other than its own members.</w:t>
      </w:r>
    </w:p>
    <w:p w14:paraId="649D9B6B" w14:textId="77777777" w:rsidR="00136ED0" w:rsidRPr="00C15CD9" w:rsidRDefault="00136ED0" w:rsidP="000F5D59">
      <w:pPr>
        <w:pStyle w:val="Heading4"/>
      </w:pPr>
      <w:r w:rsidRPr="00C15CD9">
        <w:t>Best endeavours and within its powers</w:t>
      </w:r>
    </w:p>
    <w:p w14:paraId="0D605647" w14:textId="1D5B3E0C" w:rsidR="00136ED0" w:rsidRPr="00C15CD9" w:rsidRDefault="00136ED0" w:rsidP="000F5D59">
      <w:r w:rsidRPr="00C15CD9">
        <w:t>If an investor controls another entity as per the definition of section 50AA of the</w:t>
      </w:r>
      <w:r w:rsidRPr="00C15CD9">
        <w:rPr>
          <w:i/>
        </w:rPr>
        <w:t xml:space="preserve"> Corporations Act 2001</w:t>
      </w:r>
      <w:r w:rsidRPr="00C15CD9">
        <w:t>, then it would generally be expected that it is within the investor</w:t>
      </w:r>
      <w:r w:rsidR="000F5D59">
        <w:t>’</w:t>
      </w:r>
      <w:r w:rsidRPr="00C15CD9">
        <w:t xml:space="preserve">s powers to ensure that the other entity acts in accordance with </w:t>
      </w:r>
      <w:r w:rsidR="00191168">
        <w:t xml:space="preserve">the </w:t>
      </w:r>
      <w:r w:rsidRPr="00C15CD9">
        <w:t>condition</w:t>
      </w:r>
      <w:r w:rsidR="00191168" w:rsidRPr="00C15CD9" w:rsidDel="00191168">
        <w:t xml:space="preserve"> </w:t>
      </w:r>
      <w:r w:rsidRPr="00C15CD9">
        <w:t>applied.</w:t>
      </w:r>
    </w:p>
    <w:p w14:paraId="43DAA5AE" w14:textId="2E34F546" w:rsidR="00136ED0" w:rsidRPr="00C15CD9" w:rsidRDefault="00136ED0" w:rsidP="000F5D59">
      <w:r w:rsidRPr="00C15CD9">
        <w:t>For an entity in the investor</w:t>
      </w:r>
      <w:r w:rsidR="000F5D59">
        <w:t>’</w:t>
      </w:r>
      <w:r w:rsidRPr="00C15CD9">
        <w:t xml:space="preserve">s control group that the investor does not control, the investor is expected to use its best endeavours to ensure that the other entity acts in accordance with the relevant condition. </w:t>
      </w:r>
    </w:p>
    <w:p w14:paraId="3612CD6B" w14:textId="77777777" w:rsidR="00136ED0" w:rsidRPr="00C15CD9" w:rsidRDefault="00136ED0" w:rsidP="000F5D59">
      <w:r w:rsidRPr="00C15CD9">
        <w:t xml:space="preserve">Depending on the circumstances this might involve making representations to that entity and the controlling entity in relation to the relevant conditions in person and/or in writing. Best endeavours </w:t>
      </w:r>
      <w:proofErr w:type="gramStart"/>
      <w:r w:rsidRPr="00C15CD9">
        <w:t>means</w:t>
      </w:r>
      <w:proofErr w:type="gramEnd"/>
      <w:r w:rsidRPr="00C15CD9">
        <w:t xml:space="preserve"> to do all one reasonably can and this will depend on the relationships between the entities, the conditions that have been applied and the particular circumstances.</w:t>
      </w:r>
    </w:p>
    <w:p w14:paraId="0A5F471C" w14:textId="1AFB68D6" w:rsidR="00136ED0" w:rsidRPr="00C15CD9" w:rsidRDefault="00B177CA" w:rsidP="000F5D59">
      <w:pPr>
        <w:pStyle w:val="Heading2"/>
      </w:pPr>
      <w:bookmarkStart w:id="20" w:name="_Toc164179445"/>
      <w:bookmarkStart w:id="21" w:name="_Toc75967415"/>
      <w:bookmarkStart w:id="22" w:name="_Toc191384263"/>
      <w:r>
        <w:lastRenderedPageBreak/>
        <w:t>H</w:t>
      </w:r>
      <w:r w:rsidR="00136ED0" w:rsidRPr="00C15CD9">
        <w:t>: Tax risk notification paragraphs</w:t>
      </w:r>
      <w:bookmarkEnd w:id="20"/>
      <w:bookmarkEnd w:id="21"/>
      <w:bookmarkEnd w:id="22"/>
    </w:p>
    <w:p w14:paraId="0437AA5C" w14:textId="77777777" w:rsidR="00136ED0" w:rsidRPr="00C15CD9" w:rsidRDefault="00136ED0" w:rsidP="000F5D59">
      <w:r w:rsidRPr="00C15CD9">
        <w:t>Tax risk notification paragraphs (</w:t>
      </w:r>
      <w:r w:rsidRPr="00C15CD9">
        <w:rPr>
          <w:b/>
        </w:rPr>
        <w:t>TRNPs</w:t>
      </w:r>
      <w:r w:rsidRPr="00C15CD9">
        <w:t xml:space="preserve">) serve to alert investors to </w:t>
      </w:r>
      <w:proofErr w:type="gramStart"/>
      <w:r w:rsidRPr="00C15CD9">
        <w:t>particular tax</w:t>
      </w:r>
      <w:proofErr w:type="gramEnd"/>
      <w:r w:rsidRPr="00C15CD9">
        <w:t xml:space="preserve"> risks that the ATO has identified that may warrant their consideration. TRNPs often request that the investor engage with the ATO to discuss the identified issues further. </w:t>
      </w:r>
    </w:p>
    <w:p w14:paraId="1DB80E65" w14:textId="546AF93A" w:rsidR="00136ED0" w:rsidRPr="00C15CD9" w:rsidRDefault="00136ED0" w:rsidP="000F5D59">
      <w:r w:rsidRPr="00C15CD9">
        <w:t xml:space="preserve">TRNPs are not conditions imposed upon investors and are therefore not legally binding. Where the ATO has reason to suspect that an investor may not be willing to engage voluntarily with the ATO, and the ATO believes such engagement is necessary to mitigate tax risks, the ATO may recommend that this requirement be imposed via a legally binding tax condition. </w:t>
      </w:r>
    </w:p>
    <w:p w14:paraId="5E8C2162" w14:textId="77777777" w:rsidR="00C0233C" w:rsidRDefault="00C0233C">
      <w:pPr>
        <w:spacing w:before="0" w:after="0"/>
        <w:rPr>
          <w:rFonts w:ascii="Calibri" w:hAnsi="Calibri" w:cs="Arial"/>
          <w:iCs/>
          <w:color w:val="2C384A"/>
          <w:kern w:val="32"/>
          <w:sz w:val="36"/>
          <w:szCs w:val="28"/>
        </w:rPr>
      </w:pPr>
      <w:bookmarkStart w:id="23" w:name="_Toc164179446"/>
      <w:bookmarkStart w:id="24" w:name="_Toc75967416"/>
      <w:r>
        <w:br w:type="page"/>
      </w:r>
    </w:p>
    <w:p w14:paraId="390D0DD0" w14:textId="2AA6DD7F" w:rsidR="00136ED0" w:rsidRPr="00C15CD9" w:rsidRDefault="00136ED0" w:rsidP="000F5D59">
      <w:pPr>
        <w:pStyle w:val="Heading2"/>
      </w:pPr>
      <w:bookmarkStart w:id="25" w:name="_Toc191384264"/>
      <w:r w:rsidRPr="00C15CD9">
        <w:lastRenderedPageBreak/>
        <w:t>Further information</w:t>
      </w:r>
      <w:bookmarkEnd w:id="23"/>
      <w:bookmarkEnd w:id="24"/>
      <w:bookmarkEnd w:id="25"/>
    </w:p>
    <w:p w14:paraId="44D7A53A" w14:textId="76D58F6B" w:rsidR="00136ED0" w:rsidRPr="00C15CD9" w:rsidRDefault="00136ED0" w:rsidP="000F5D59">
      <w:r w:rsidRPr="00C15CD9">
        <w:t xml:space="preserve">Further information is available on the </w:t>
      </w:r>
      <w:hyperlink r:id="rId10" w:history="1">
        <w:r w:rsidR="00F06AE1" w:rsidRPr="00DE56BC">
          <w:rPr>
            <w:rStyle w:val="Hyperlink"/>
          </w:rPr>
          <w:t>Foreign Investmen</w:t>
        </w:r>
        <w:r w:rsidR="00DE56BC" w:rsidRPr="00DE56BC">
          <w:rPr>
            <w:rStyle w:val="Hyperlink"/>
          </w:rPr>
          <w:t>t website</w:t>
        </w:r>
      </w:hyperlink>
      <w:r w:rsidR="00DE56BC">
        <w:t xml:space="preserve"> </w:t>
      </w:r>
      <w:r w:rsidRPr="00C15CD9">
        <w:t>or by contacting 1800 050 377 from Australia or +61 2 6216 1111 from overseas.</w:t>
      </w:r>
    </w:p>
    <w:p w14:paraId="23895C99" w14:textId="67AB8B31" w:rsidR="00DE74EC" w:rsidRPr="00045C24" w:rsidRDefault="00136ED0" w:rsidP="009E1AE8">
      <w:r w:rsidRPr="00C15CD9">
        <w:rPr>
          <w:b/>
        </w:rPr>
        <w:t>Important notice</w:t>
      </w:r>
      <w:r w:rsidRPr="00C15CD9">
        <w:t xml:space="preserve">: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C15CD9">
        <w:t>particular circumstances</w:t>
      </w:r>
      <w:proofErr w:type="gramEnd"/>
      <w:r w:rsidRPr="00C15CD9">
        <w:t xml:space="preserve"> must be taken into account when determining how the law applies to you. This Guidance Note is therefore not a substitute for obtaining your own legal advice.</w:t>
      </w:r>
    </w:p>
    <w:sectPr w:rsidR="00DE74EC" w:rsidRPr="00045C24" w:rsidSect="00300C95">
      <w:headerReference w:type="default" r:id="rId11"/>
      <w:footerReference w:type="default" r:id="rId12"/>
      <w:headerReference w:type="first" r:id="rId13"/>
      <w:footerReference w:type="first" r:id="rId14"/>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4776" w14:textId="77777777" w:rsidR="00F325C4" w:rsidRDefault="00F325C4" w:rsidP="00886BC4">
      <w:r>
        <w:separator/>
      </w:r>
    </w:p>
    <w:p w14:paraId="771E5893" w14:textId="77777777" w:rsidR="00F325C4" w:rsidRDefault="00F325C4"/>
    <w:p w14:paraId="6238F005" w14:textId="77777777" w:rsidR="00F325C4" w:rsidRDefault="00F325C4"/>
  </w:endnote>
  <w:endnote w:type="continuationSeparator" w:id="0">
    <w:p w14:paraId="2BBC8330" w14:textId="77777777" w:rsidR="00F325C4" w:rsidRDefault="00F325C4" w:rsidP="00886BC4">
      <w:r>
        <w:continuationSeparator/>
      </w:r>
    </w:p>
    <w:p w14:paraId="7A019157" w14:textId="77777777" w:rsidR="00F325C4" w:rsidRDefault="00F325C4"/>
    <w:p w14:paraId="2931ACB2" w14:textId="77777777" w:rsidR="00F325C4" w:rsidRDefault="00F325C4"/>
  </w:endnote>
  <w:endnote w:type="continuationNotice" w:id="1">
    <w:p w14:paraId="2A23112A" w14:textId="77777777" w:rsidR="00F325C4" w:rsidRDefault="00F325C4"/>
    <w:p w14:paraId="1E563A6C" w14:textId="77777777" w:rsidR="00F325C4" w:rsidRDefault="00F32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AF63" w14:textId="407982E4" w:rsidR="00A15DB7" w:rsidRPr="000C06D0" w:rsidRDefault="000C06D0" w:rsidP="000C06D0">
    <w:pPr>
      <w:pStyle w:val="Footer"/>
      <w:tabs>
        <w:tab w:val="clear" w:pos="4320"/>
      </w:tabs>
      <w:jc w:val="right"/>
    </w:pPr>
    <w:r w:rsidRPr="00AC3B66">
      <w:rPr>
        <w:noProof/>
        <w:position w:val="-10"/>
      </w:rPr>
      <w:drawing>
        <wp:inline distT="0" distB="0" distL="0" distR="0" wp14:anchorId="146C852D" wp14:editId="223DC60C">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tab/>
    </w:r>
    <w:r w:rsidR="00E416D5">
      <w:t xml:space="preserve">Version </w:t>
    </w:r>
    <w:r w:rsidR="00437BD6">
      <w:t>4</w:t>
    </w:r>
    <w:r w:rsidR="006B2268">
      <w:t xml:space="preserve"> </w:t>
    </w:r>
    <w:r w:rsidR="00E416D5">
      <w:t>(</w:t>
    </w:r>
    <w:r w:rsidR="008C63A3">
      <w:t>14</w:t>
    </w:r>
    <w:r w:rsidR="0001780F">
      <w:t xml:space="preserve"> March</w:t>
    </w:r>
    <w:r w:rsidR="00377498">
      <w:t xml:space="preserve"> 2025</w:t>
    </w:r>
    <w:r w:rsidR="00E416D5">
      <w:t xml:space="preserve">) </w:t>
    </w:r>
    <w:r>
      <w:t xml:space="preserve">| </w:t>
    </w:r>
    <w:r w:rsidRPr="00565A52">
      <w:t xml:space="preserve"> </w:t>
    </w:r>
    <w:r w:rsidRPr="00565A52">
      <w:fldChar w:fldCharType="begin"/>
    </w:r>
    <w:r w:rsidRPr="00565A52">
      <w:instrText xml:space="preserve"> PAGE   \* MERGEFORMAT </w:instrText>
    </w:r>
    <w:r w:rsidRPr="00565A52">
      <w:fldChar w:fldCharType="separate"/>
    </w:r>
    <w:r>
      <w:t>3</w:t>
    </w:r>
    <w:r w:rsidRPr="00565A52">
      <w:fldChar w:fldCharType="end"/>
    </w:r>
  </w:p>
  <w:p w14:paraId="56420BDF" w14:textId="77777777" w:rsidR="00565C98" w:rsidRDefault="00565C98" w:rsidP="00484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DA9" w14:textId="75AB6BDC" w:rsidR="00300C95" w:rsidRPr="00E81A92" w:rsidRDefault="000C06D0" w:rsidP="00BA123B">
    <w:pPr>
      <w:pStyle w:val="Footer"/>
      <w:tabs>
        <w:tab w:val="clear" w:pos="4320"/>
        <w:tab w:val="clear" w:pos="8640"/>
        <w:tab w:val="center" w:pos="7938"/>
      </w:tabs>
      <w:jc w:val="right"/>
    </w:pPr>
    <w:r w:rsidRPr="00AC3B66">
      <w:rPr>
        <w:noProof/>
        <w:position w:val="-10"/>
      </w:rPr>
      <w:drawing>
        <wp:inline distT="0" distB="0" distL="0" distR="0" wp14:anchorId="79AA62F6" wp14:editId="18A37E9E">
          <wp:extent cx="2178000" cy="201600"/>
          <wp:effectExtent l="0" t="0" r="0"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3D2B64">
      <w:t xml:space="preserve">Version </w:t>
    </w:r>
    <w:r w:rsidR="00437BD6">
      <w:t>4</w:t>
    </w:r>
    <w:r w:rsidR="003D2B64">
      <w:t xml:space="preserve"> (</w:t>
    </w:r>
    <w:r w:rsidR="008C63A3">
      <w:t>14</w:t>
    </w:r>
    <w:r w:rsidR="00180902">
      <w:t xml:space="preserve"> March</w:t>
    </w:r>
    <w:r w:rsidR="00ED6E4F">
      <w:t xml:space="preserve"> 2</w:t>
    </w:r>
    <w:r w:rsidR="000A7BAE">
      <w:t>0</w:t>
    </w:r>
    <w:r w:rsidR="00AA16D8">
      <w:t>25</w:t>
    </w:r>
    <w:r w:rsidR="003D2B64">
      <w:t xml:space="preserve">) </w:t>
    </w:r>
    <w:r w:rsidR="00E81A92">
      <w:t xml:space="preserve">|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p w14:paraId="785B1194" w14:textId="77777777" w:rsidR="00565C98" w:rsidRDefault="00565C98" w:rsidP="00484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D852" w14:textId="77777777" w:rsidR="00F325C4" w:rsidRDefault="00F325C4" w:rsidP="00886BC4">
      <w:r>
        <w:separator/>
      </w:r>
    </w:p>
    <w:p w14:paraId="77A77616" w14:textId="77777777" w:rsidR="00F325C4" w:rsidRDefault="00F325C4"/>
  </w:footnote>
  <w:footnote w:type="continuationSeparator" w:id="0">
    <w:p w14:paraId="78A56022" w14:textId="77777777" w:rsidR="00F325C4" w:rsidRDefault="00F325C4" w:rsidP="00886BC4">
      <w:r>
        <w:continuationSeparator/>
      </w:r>
    </w:p>
    <w:p w14:paraId="7B65F81A" w14:textId="77777777" w:rsidR="00F325C4" w:rsidRDefault="00F325C4"/>
    <w:p w14:paraId="11EBF21D" w14:textId="77777777" w:rsidR="00F325C4" w:rsidRDefault="00F325C4"/>
  </w:footnote>
  <w:footnote w:type="continuationNotice" w:id="1">
    <w:p w14:paraId="48E36EEB" w14:textId="77777777" w:rsidR="00F325C4" w:rsidRDefault="00F325C4"/>
    <w:p w14:paraId="58230A81" w14:textId="77777777" w:rsidR="00F325C4" w:rsidRDefault="00F325C4"/>
  </w:footnote>
  <w:footnote w:id="2">
    <w:p w14:paraId="00391B7C" w14:textId="704C13A8" w:rsidR="00136ED0" w:rsidRDefault="000F5D59" w:rsidP="006F2881">
      <w:pPr>
        <w:pStyle w:val="FootnoteText"/>
      </w:pPr>
      <w:r w:rsidRPr="000F5D59">
        <w:rPr>
          <w:rStyle w:val="FootnoteReference"/>
          <w:vertAlign w:val="baseline"/>
        </w:rPr>
        <w:footnoteRef/>
      </w:r>
      <w:r w:rsidR="00136ED0" w:rsidRPr="00A7019B">
        <w:t xml:space="preserve"> </w:t>
      </w:r>
      <w:r w:rsidR="00136ED0">
        <w:tab/>
      </w:r>
      <w:r w:rsidR="00136ED0" w:rsidRPr="00A7019B">
        <w:t xml:space="preserve">The Treasurer has the </w:t>
      </w:r>
      <w:r w:rsidR="00377D2A">
        <w:t>power</w:t>
      </w:r>
      <w:r w:rsidR="00377D2A" w:rsidRPr="00A7019B">
        <w:t xml:space="preserve"> </w:t>
      </w:r>
      <w:r w:rsidR="00136ED0" w:rsidRPr="00A7019B">
        <w:t>to impose any condition(s) that the Treasurer considers necessary to protect the national interest</w:t>
      </w:r>
      <w:r w:rsidR="00136ED0">
        <w:t xml:space="preserve"> (or </w:t>
      </w:r>
      <w:r w:rsidR="00136ED0" w:rsidRPr="006F2881">
        <w:t>national</w:t>
      </w:r>
      <w:r w:rsidR="00136ED0">
        <w:t xml:space="preserve"> security, as the case applies)</w:t>
      </w:r>
      <w:r w:rsidR="00136ED0" w:rsidRPr="00A7019B">
        <w:t xml:space="preserve">. While this section </w:t>
      </w:r>
      <w:r w:rsidR="00540E0A">
        <w:t xml:space="preserve">of the </w:t>
      </w:r>
      <w:r w:rsidR="00540E0A" w:rsidRPr="00540E0A">
        <w:rPr>
          <w:i/>
          <w:iCs/>
        </w:rPr>
        <w:t>Guidance Note</w:t>
      </w:r>
      <w:r w:rsidR="00540E0A">
        <w:t xml:space="preserve"> </w:t>
      </w:r>
      <w:r w:rsidR="00136ED0" w:rsidRPr="00A7019B">
        <w:t>outlines some of the more common tax conditions applied, all investments are considered on a case</w:t>
      </w:r>
      <w:r>
        <w:noBreakHyphen/>
      </w:r>
      <w:r w:rsidR="00136ED0" w:rsidRPr="00A7019B">
        <w:t>by</w:t>
      </w:r>
      <w:r>
        <w:noBreakHyphen/>
      </w:r>
      <w:r w:rsidR="00136ED0" w:rsidRPr="00A7019B">
        <w:t>case basis, and th</w:t>
      </w:r>
      <w:r w:rsidR="00E90693">
        <w:t>erefore</w:t>
      </w:r>
      <w:r w:rsidR="00136ED0" w:rsidRPr="00A7019B">
        <w:t xml:space="preserve"> the actual conditions imposed may vary from these.</w:t>
      </w:r>
    </w:p>
  </w:footnote>
  <w:footnote w:id="3">
    <w:p w14:paraId="77F1489B" w14:textId="5A93AFA9" w:rsidR="00DC71D4" w:rsidRPr="00DC71D4" w:rsidRDefault="00DC71D4">
      <w:pPr>
        <w:pStyle w:val="FootnoteText"/>
      </w:pPr>
      <w:r w:rsidRPr="00DC71D4">
        <w:rPr>
          <w:rStyle w:val="FootnoteReference"/>
          <w:vertAlign w:val="baseline"/>
        </w:rPr>
        <w:footnoteRef/>
      </w:r>
      <w:r w:rsidRPr="00DC71D4">
        <w:t xml:space="preserve"> </w:t>
      </w:r>
      <w:r>
        <w:tab/>
      </w:r>
      <w:r w:rsidRPr="00DC71D4">
        <w:t>As required by Category C of the ATO’s reportable tax positions, applicants must disclose arrangements that have characteristics of taxpayer alerts, even if some features of the proposed arrangement are different to those described in the alert, or the arrangement is not viewed by the applicant or their advisers as aggressive, contrived or artificial</w:t>
      </w:r>
      <w:r>
        <w:t>.</w:t>
      </w:r>
    </w:p>
  </w:footnote>
  <w:footnote w:id="4">
    <w:p w14:paraId="2AF17A6F" w14:textId="361169E8" w:rsidR="00583D8C" w:rsidRDefault="001F08AE" w:rsidP="00583D8C">
      <w:r w:rsidRPr="00583D8C">
        <w:rPr>
          <w:rStyle w:val="FootnoteReference"/>
          <w:sz w:val="20"/>
          <w:vertAlign w:val="baseline"/>
        </w:rPr>
        <w:footnoteRef/>
      </w:r>
      <w:r w:rsidR="00583D8C">
        <w:rPr>
          <w:sz w:val="20"/>
        </w:rPr>
        <w:t xml:space="preserve">    </w:t>
      </w:r>
      <w:r w:rsidRPr="00583D8C">
        <w:rPr>
          <w:sz w:val="20"/>
        </w:rPr>
        <w:t>This includes documents or information held, possessed or stored outside Australia</w:t>
      </w:r>
      <w:r w:rsidRPr="00194A3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041" w14:textId="319151DA" w:rsidR="006D3EE7" w:rsidRPr="007F53C0" w:rsidRDefault="00FC2E34" w:rsidP="007F53C0">
    <w:pPr>
      <w:pStyle w:val="Header"/>
    </w:pPr>
    <w:r>
      <w:rPr>
        <w:noProof/>
      </w:rPr>
      <w:drawing>
        <wp:anchor distT="0" distB="0" distL="114300" distR="114300" simplePos="0" relativeHeight="251657728" behindDoc="1" locked="0" layoutInCell="1" allowOverlap="1" wp14:anchorId="7D31A552" wp14:editId="74A03FB5">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r w:rsidR="00DA137E" w:rsidRPr="007F53C0">
      <w:t xml:space="preserve"> </w:t>
    </w:r>
  </w:p>
  <w:p w14:paraId="7A21F500" w14:textId="77777777" w:rsidR="00565C98" w:rsidRDefault="00565C98" w:rsidP="00484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1224" w14:textId="6FFD655B" w:rsidR="00300C95" w:rsidRDefault="00F54E1E">
    <w:pPr>
      <w:pStyle w:val="Header"/>
    </w:pPr>
    <w:r>
      <w:rPr>
        <w:noProof/>
      </w:rPr>
      <w:drawing>
        <wp:anchor distT="0" distB="0" distL="114300" distR="114300" simplePos="0" relativeHeight="251656704" behindDoc="1" locked="0" layoutInCell="1" allowOverlap="0" wp14:anchorId="7D29598E" wp14:editId="0640C446">
          <wp:simplePos x="0" y="0"/>
          <wp:positionH relativeFrom="page">
            <wp:align>left</wp:align>
          </wp:positionH>
          <wp:positionV relativeFrom="page">
            <wp:posOffset>9525</wp:posOffset>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3"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37905132"/>
    <w:multiLevelType w:val="hybridMultilevel"/>
    <w:tmpl w:val="0F384A42"/>
    <w:lvl w:ilvl="0" w:tplc="18502AD8">
      <w:start w:val="1"/>
      <w:numFmt w:val="bullet"/>
      <w:lvlText w:val=""/>
      <w:lvlJc w:val="left"/>
      <w:pPr>
        <w:ind w:left="720" w:hanging="360"/>
      </w:pPr>
      <w:rPr>
        <w:rFonts w:ascii="Symbol" w:hAnsi="Symbol" w:hint="default"/>
      </w:rPr>
    </w:lvl>
    <w:lvl w:ilvl="1" w:tplc="27C06FA4">
      <w:start w:val="1"/>
      <w:numFmt w:val="bullet"/>
      <w:lvlText w:val="o"/>
      <w:lvlJc w:val="left"/>
      <w:pPr>
        <w:ind w:left="1440" w:hanging="360"/>
      </w:pPr>
      <w:rPr>
        <w:rFonts w:ascii="Courier New" w:hAnsi="Courier New" w:hint="default"/>
      </w:rPr>
    </w:lvl>
    <w:lvl w:ilvl="2" w:tplc="45927C1C">
      <w:start w:val="1"/>
      <w:numFmt w:val="bullet"/>
      <w:lvlText w:val=""/>
      <w:lvlJc w:val="left"/>
      <w:pPr>
        <w:ind w:left="2160" w:hanging="360"/>
      </w:pPr>
      <w:rPr>
        <w:rFonts w:ascii="Wingdings" w:hAnsi="Wingdings" w:hint="default"/>
      </w:rPr>
    </w:lvl>
    <w:lvl w:ilvl="3" w:tplc="C02CE6E6">
      <w:start w:val="1"/>
      <w:numFmt w:val="bullet"/>
      <w:lvlText w:val=""/>
      <w:lvlJc w:val="left"/>
      <w:pPr>
        <w:ind w:left="2880" w:hanging="360"/>
      </w:pPr>
      <w:rPr>
        <w:rFonts w:ascii="Symbol" w:hAnsi="Symbol" w:hint="default"/>
      </w:rPr>
    </w:lvl>
    <w:lvl w:ilvl="4" w:tplc="AA8AF33A">
      <w:start w:val="1"/>
      <w:numFmt w:val="bullet"/>
      <w:lvlText w:val="o"/>
      <w:lvlJc w:val="left"/>
      <w:pPr>
        <w:ind w:left="3600" w:hanging="360"/>
      </w:pPr>
      <w:rPr>
        <w:rFonts w:ascii="Courier New" w:hAnsi="Courier New" w:hint="default"/>
      </w:rPr>
    </w:lvl>
    <w:lvl w:ilvl="5" w:tplc="9DC87E34">
      <w:start w:val="1"/>
      <w:numFmt w:val="bullet"/>
      <w:lvlText w:val=""/>
      <w:lvlJc w:val="left"/>
      <w:pPr>
        <w:ind w:left="4320" w:hanging="360"/>
      </w:pPr>
      <w:rPr>
        <w:rFonts w:ascii="Wingdings" w:hAnsi="Wingdings" w:hint="default"/>
      </w:rPr>
    </w:lvl>
    <w:lvl w:ilvl="6" w:tplc="F3D6F2E4">
      <w:start w:val="1"/>
      <w:numFmt w:val="bullet"/>
      <w:lvlText w:val=""/>
      <w:lvlJc w:val="left"/>
      <w:pPr>
        <w:ind w:left="5040" w:hanging="360"/>
      </w:pPr>
      <w:rPr>
        <w:rFonts w:ascii="Symbol" w:hAnsi="Symbol" w:hint="default"/>
      </w:rPr>
    </w:lvl>
    <w:lvl w:ilvl="7" w:tplc="D3061FC4">
      <w:start w:val="1"/>
      <w:numFmt w:val="bullet"/>
      <w:lvlText w:val="o"/>
      <w:lvlJc w:val="left"/>
      <w:pPr>
        <w:ind w:left="5760" w:hanging="360"/>
      </w:pPr>
      <w:rPr>
        <w:rFonts w:ascii="Courier New" w:hAnsi="Courier New" w:hint="default"/>
      </w:rPr>
    </w:lvl>
    <w:lvl w:ilvl="8" w:tplc="20BE6DDE">
      <w:start w:val="1"/>
      <w:numFmt w:val="bullet"/>
      <w:lvlText w:val=""/>
      <w:lvlJc w:val="left"/>
      <w:pPr>
        <w:ind w:left="6480" w:hanging="360"/>
      </w:pPr>
      <w:rPr>
        <w:rFonts w:ascii="Wingdings" w:hAnsi="Wingdings" w:hint="default"/>
      </w:rPr>
    </w:lvl>
  </w:abstractNum>
  <w:abstractNum w:abstractNumId="5"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2D314A"/>
    <w:multiLevelType w:val="hybridMultilevel"/>
    <w:tmpl w:val="598CBD76"/>
    <w:lvl w:ilvl="0" w:tplc="0C3CC3CE">
      <w:start w:val="1"/>
      <w:numFmt w:val="bullet"/>
      <w:lvlText w:val=""/>
      <w:lvlJc w:val="left"/>
      <w:pPr>
        <w:ind w:left="720" w:hanging="360"/>
      </w:pPr>
      <w:rPr>
        <w:rFonts w:ascii="Symbol" w:hAnsi="Symbol" w:hint="default"/>
      </w:rPr>
    </w:lvl>
    <w:lvl w:ilvl="1" w:tplc="58040472">
      <w:start w:val="1"/>
      <w:numFmt w:val="bullet"/>
      <w:lvlText w:val="o"/>
      <w:lvlJc w:val="left"/>
      <w:pPr>
        <w:ind w:left="1440" w:hanging="360"/>
      </w:pPr>
      <w:rPr>
        <w:rFonts w:ascii="Courier New" w:hAnsi="Courier New" w:hint="default"/>
      </w:rPr>
    </w:lvl>
    <w:lvl w:ilvl="2" w:tplc="C52EF4E8">
      <w:start w:val="1"/>
      <w:numFmt w:val="bullet"/>
      <w:lvlText w:val=""/>
      <w:lvlJc w:val="left"/>
      <w:pPr>
        <w:ind w:left="2160" w:hanging="360"/>
      </w:pPr>
      <w:rPr>
        <w:rFonts w:ascii="Wingdings" w:hAnsi="Wingdings" w:hint="default"/>
      </w:rPr>
    </w:lvl>
    <w:lvl w:ilvl="3" w:tplc="1AD0DC96">
      <w:start w:val="1"/>
      <w:numFmt w:val="bullet"/>
      <w:lvlText w:val=""/>
      <w:lvlJc w:val="left"/>
      <w:pPr>
        <w:ind w:left="2880" w:hanging="360"/>
      </w:pPr>
      <w:rPr>
        <w:rFonts w:ascii="Symbol" w:hAnsi="Symbol" w:hint="default"/>
      </w:rPr>
    </w:lvl>
    <w:lvl w:ilvl="4" w:tplc="2B42F7BC">
      <w:start w:val="1"/>
      <w:numFmt w:val="bullet"/>
      <w:lvlText w:val="o"/>
      <w:lvlJc w:val="left"/>
      <w:pPr>
        <w:ind w:left="3600" w:hanging="360"/>
      </w:pPr>
      <w:rPr>
        <w:rFonts w:ascii="Courier New" w:hAnsi="Courier New" w:hint="default"/>
      </w:rPr>
    </w:lvl>
    <w:lvl w:ilvl="5" w:tplc="B156A3E6">
      <w:start w:val="1"/>
      <w:numFmt w:val="bullet"/>
      <w:lvlText w:val=""/>
      <w:lvlJc w:val="left"/>
      <w:pPr>
        <w:ind w:left="4320" w:hanging="360"/>
      </w:pPr>
      <w:rPr>
        <w:rFonts w:ascii="Wingdings" w:hAnsi="Wingdings" w:hint="default"/>
      </w:rPr>
    </w:lvl>
    <w:lvl w:ilvl="6" w:tplc="508C6C96">
      <w:start w:val="1"/>
      <w:numFmt w:val="bullet"/>
      <w:lvlText w:val=""/>
      <w:lvlJc w:val="left"/>
      <w:pPr>
        <w:ind w:left="5040" w:hanging="360"/>
      </w:pPr>
      <w:rPr>
        <w:rFonts w:ascii="Symbol" w:hAnsi="Symbol" w:hint="default"/>
      </w:rPr>
    </w:lvl>
    <w:lvl w:ilvl="7" w:tplc="26FCF504">
      <w:start w:val="1"/>
      <w:numFmt w:val="bullet"/>
      <w:lvlText w:val="o"/>
      <w:lvlJc w:val="left"/>
      <w:pPr>
        <w:ind w:left="5760" w:hanging="360"/>
      </w:pPr>
      <w:rPr>
        <w:rFonts w:ascii="Courier New" w:hAnsi="Courier New" w:hint="default"/>
      </w:rPr>
    </w:lvl>
    <w:lvl w:ilvl="8" w:tplc="3A4A7C18">
      <w:start w:val="1"/>
      <w:numFmt w:val="bullet"/>
      <w:lvlText w:val=""/>
      <w:lvlJc w:val="left"/>
      <w:pPr>
        <w:ind w:left="6480" w:hanging="360"/>
      </w:pPr>
      <w:rPr>
        <w:rFonts w:ascii="Wingdings" w:hAnsi="Wingdings" w:hint="default"/>
      </w:rPr>
    </w:lvl>
  </w:abstractNum>
  <w:abstractNum w:abstractNumId="7"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0254638">
    <w:abstractNumId w:val="1"/>
  </w:num>
  <w:num w:numId="2" w16cid:durableId="277031847">
    <w:abstractNumId w:val="8"/>
  </w:num>
  <w:num w:numId="3" w16cid:durableId="3069013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6801242">
    <w:abstractNumId w:val="0"/>
  </w:num>
  <w:num w:numId="5" w16cid:durableId="370417843">
    <w:abstractNumId w:val="3"/>
  </w:num>
  <w:num w:numId="6" w16cid:durableId="1364164556">
    <w:abstractNumId w:val="7"/>
  </w:num>
  <w:num w:numId="7" w16cid:durableId="1494444661">
    <w:abstractNumId w:val="5"/>
  </w:num>
  <w:num w:numId="8" w16cid:durableId="1583296559">
    <w:abstractNumId w:val="2"/>
  </w:num>
  <w:num w:numId="9" w16cid:durableId="16278767">
    <w:abstractNumId w:val="6"/>
  </w:num>
  <w:num w:numId="10" w16cid:durableId="185980559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A3389"/>
    <w:rsid w:val="00001282"/>
    <w:rsid w:val="00001AC8"/>
    <w:rsid w:val="00003250"/>
    <w:rsid w:val="00004983"/>
    <w:rsid w:val="0000565F"/>
    <w:rsid w:val="000076FA"/>
    <w:rsid w:val="00010918"/>
    <w:rsid w:val="000111F3"/>
    <w:rsid w:val="000121FA"/>
    <w:rsid w:val="0001479B"/>
    <w:rsid w:val="00014EEB"/>
    <w:rsid w:val="00015D4E"/>
    <w:rsid w:val="000161F9"/>
    <w:rsid w:val="00016670"/>
    <w:rsid w:val="00016B6C"/>
    <w:rsid w:val="0001780F"/>
    <w:rsid w:val="000214F0"/>
    <w:rsid w:val="0002151A"/>
    <w:rsid w:val="0002189A"/>
    <w:rsid w:val="0002426E"/>
    <w:rsid w:val="00024F8A"/>
    <w:rsid w:val="0002609E"/>
    <w:rsid w:val="000272ED"/>
    <w:rsid w:val="00027A12"/>
    <w:rsid w:val="00030388"/>
    <w:rsid w:val="00030595"/>
    <w:rsid w:val="000309A2"/>
    <w:rsid w:val="00030C3A"/>
    <w:rsid w:val="00031EF5"/>
    <w:rsid w:val="00032324"/>
    <w:rsid w:val="000326BF"/>
    <w:rsid w:val="000334A4"/>
    <w:rsid w:val="00033942"/>
    <w:rsid w:val="00033FEF"/>
    <w:rsid w:val="0003553D"/>
    <w:rsid w:val="00035BAA"/>
    <w:rsid w:val="000366FE"/>
    <w:rsid w:val="00036941"/>
    <w:rsid w:val="00036BB8"/>
    <w:rsid w:val="00040F73"/>
    <w:rsid w:val="000421F9"/>
    <w:rsid w:val="000424AD"/>
    <w:rsid w:val="00043542"/>
    <w:rsid w:val="0004520E"/>
    <w:rsid w:val="000453C9"/>
    <w:rsid w:val="00045C24"/>
    <w:rsid w:val="000463D4"/>
    <w:rsid w:val="0005226E"/>
    <w:rsid w:val="00055A65"/>
    <w:rsid w:val="00055D23"/>
    <w:rsid w:val="00057934"/>
    <w:rsid w:val="00057ED7"/>
    <w:rsid w:val="00060493"/>
    <w:rsid w:val="0006090F"/>
    <w:rsid w:val="00060C76"/>
    <w:rsid w:val="00060D98"/>
    <w:rsid w:val="000610D1"/>
    <w:rsid w:val="00061B0E"/>
    <w:rsid w:val="000640B9"/>
    <w:rsid w:val="00065C14"/>
    <w:rsid w:val="00066955"/>
    <w:rsid w:val="00067237"/>
    <w:rsid w:val="000676D7"/>
    <w:rsid w:val="00067E65"/>
    <w:rsid w:val="00067FC3"/>
    <w:rsid w:val="00071B47"/>
    <w:rsid w:val="00072AAB"/>
    <w:rsid w:val="00074EDE"/>
    <w:rsid w:val="00075363"/>
    <w:rsid w:val="000753CE"/>
    <w:rsid w:val="00075A6F"/>
    <w:rsid w:val="000760BD"/>
    <w:rsid w:val="000768ED"/>
    <w:rsid w:val="00077440"/>
    <w:rsid w:val="000810D1"/>
    <w:rsid w:val="00082221"/>
    <w:rsid w:val="000849B1"/>
    <w:rsid w:val="00084C4B"/>
    <w:rsid w:val="00087BEF"/>
    <w:rsid w:val="000907BE"/>
    <w:rsid w:val="0009128A"/>
    <w:rsid w:val="000919DA"/>
    <w:rsid w:val="0009209E"/>
    <w:rsid w:val="000928CD"/>
    <w:rsid w:val="0009353D"/>
    <w:rsid w:val="00093AC7"/>
    <w:rsid w:val="000941EE"/>
    <w:rsid w:val="00094BA4"/>
    <w:rsid w:val="0009529B"/>
    <w:rsid w:val="00095AEE"/>
    <w:rsid w:val="00097ADE"/>
    <w:rsid w:val="000A1190"/>
    <w:rsid w:val="000A27D9"/>
    <w:rsid w:val="000A335E"/>
    <w:rsid w:val="000A4D2D"/>
    <w:rsid w:val="000A6566"/>
    <w:rsid w:val="000A68DF"/>
    <w:rsid w:val="000A6BD0"/>
    <w:rsid w:val="000A7BAE"/>
    <w:rsid w:val="000B029F"/>
    <w:rsid w:val="000B1EC3"/>
    <w:rsid w:val="000B20D7"/>
    <w:rsid w:val="000B2786"/>
    <w:rsid w:val="000B37DE"/>
    <w:rsid w:val="000B3C90"/>
    <w:rsid w:val="000B473A"/>
    <w:rsid w:val="000B498A"/>
    <w:rsid w:val="000B59B7"/>
    <w:rsid w:val="000B5B62"/>
    <w:rsid w:val="000B5D8B"/>
    <w:rsid w:val="000C02C9"/>
    <w:rsid w:val="000C056D"/>
    <w:rsid w:val="000C06D0"/>
    <w:rsid w:val="000C12A6"/>
    <w:rsid w:val="000C20B6"/>
    <w:rsid w:val="000C4AD5"/>
    <w:rsid w:val="000C5A5A"/>
    <w:rsid w:val="000C5A90"/>
    <w:rsid w:val="000C5AD1"/>
    <w:rsid w:val="000C759E"/>
    <w:rsid w:val="000D0B7F"/>
    <w:rsid w:val="000D14CF"/>
    <w:rsid w:val="000D33F2"/>
    <w:rsid w:val="000D4A80"/>
    <w:rsid w:val="000D4C08"/>
    <w:rsid w:val="000D6E57"/>
    <w:rsid w:val="000D7D2F"/>
    <w:rsid w:val="000E324C"/>
    <w:rsid w:val="000E58D5"/>
    <w:rsid w:val="000E7405"/>
    <w:rsid w:val="000E7AC1"/>
    <w:rsid w:val="000F07BB"/>
    <w:rsid w:val="000F08AE"/>
    <w:rsid w:val="000F2493"/>
    <w:rsid w:val="000F2562"/>
    <w:rsid w:val="000F33C9"/>
    <w:rsid w:val="000F4CD6"/>
    <w:rsid w:val="000F5185"/>
    <w:rsid w:val="000F5892"/>
    <w:rsid w:val="000F5D59"/>
    <w:rsid w:val="00101FE6"/>
    <w:rsid w:val="00102238"/>
    <w:rsid w:val="00102280"/>
    <w:rsid w:val="00104706"/>
    <w:rsid w:val="00105EBE"/>
    <w:rsid w:val="001069DC"/>
    <w:rsid w:val="00106BFD"/>
    <w:rsid w:val="001120A9"/>
    <w:rsid w:val="00112275"/>
    <w:rsid w:val="0011364B"/>
    <w:rsid w:val="00113F76"/>
    <w:rsid w:val="001145FD"/>
    <w:rsid w:val="00114AF2"/>
    <w:rsid w:val="00115B2E"/>
    <w:rsid w:val="001160D2"/>
    <w:rsid w:val="0011628E"/>
    <w:rsid w:val="00116E68"/>
    <w:rsid w:val="00120A23"/>
    <w:rsid w:val="00123CC6"/>
    <w:rsid w:val="00124783"/>
    <w:rsid w:val="0012681A"/>
    <w:rsid w:val="0012684B"/>
    <w:rsid w:val="0012792B"/>
    <w:rsid w:val="001305BD"/>
    <w:rsid w:val="00130B2B"/>
    <w:rsid w:val="00130E84"/>
    <w:rsid w:val="001315A5"/>
    <w:rsid w:val="00133A34"/>
    <w:rsid w:val="001363E7"/>
    <w:rsid w:val="00136ED0"/>
    <w:rsid w:val="001370C9"/>
    <w:rsid w:val="001376CC"/>
    <w:rsid w:val="00137953"/>
    <w:rsid w:val="00140550"/>
    <w:rsid w:val="00140697"/>
    <w:rsid w:val="00140FB3"/>
    <w:rsid w:val="00141709"/>
    <w:rsid w:val="00141737"/>
    <w:rsid w:val="0014178A"/>
    <w:rsid w:val="001421A1"/>
    <w:rsid w:val="001423F2"/>
    <w:rsid w:val="00142F34"/>
    <w:rsid w:val="00144724"/>
    <w:rsid w:val="00144B84"/>
    <w:rsid w:val="0014592F"/>
    <w:rsid w:val="001472E3"/>
    <w:rsid w:val="00147F20"/>
    <w:rsid w:val="001507FF"/>
    <w:rsid w:val="00151056"/>
    <w:rsid w:val="00153F7F"/>
    <w:rsid w:val="001549E9"/>
    <w:rsid w:val="00156E1A"/>
    <w:rsid w:val="00156F26"/>
    <w:rsid w:val="00162DFD"/>
    <w:rsid w:val="001637DC"/>
    <w:rsid w:val="0016453F"/>
    <w:rsid w:val="00164E97"/>
    <w:rsid w:val="00166A45"/>
    <w:rsid w:val="00166D66"/>
    <w:rsid w:val="0016744A"/>
    <w:rsid w:val="00167BAF"/>
    <w:rsid w:val="00167F62"/>
    <w:rsid w:val="00170B42"/>
    <w:rsid w:val="0017158D"/>
    <w:rsid w:val="00172A0E"/>
    <w:rsid w:val="00174954"/>
    <w:rsid w:val="001755DD"/>
    <w:rsid w:val="00175C58"/>
    <w:rsid w:val="001765EC"/>
    <w:rsid w:val="001771EF"/>
    <w:rsid w:val="00177C83"/>
    <w:rsid w:val="00180902"/>
    <w:rsid w:val="00181249"/>
    <w:rsid w:val="00181419"/>
    <w:rsid w:val="00182E9E"/>
    <w:rsid w:val="00183C81"/>
    <w:rsid w:val="00183F40"/>
    <w:rsid w:val="00185B88"/>
    <w:rsid w:val="00186256"/>
    <w:rsid w:val="00187E1A"/>
    <w:rsid w:val="0019004A"/>
    <w:rsid w:val="001900E1"/>
    <w:rsid w:val="00190D7B"/>
    <w:rsid w:val="00191168"/>
    <w:rsid w:val="00192367"/>
    <w:rsid w:val="001925AB"/>
    <w:rsid w:val="001929D8"/>
    <w:rsid w:val="001930BA"/>
    <w:rsid w:val="001952D1"/>
    <w:rsid w:val="0019552D"/>
    <w:rsid w:val="00197414"/>
    <w:rsid w:val="001A1322"/>
    <w:rsid w:val="001A2646"/>
    <w:rsid w:val="001A35FE"/>
    <w:rsid w:val="001A5155"/>
    <w:rsid w:val="001A5DCC"/>
    <w:rsid w:val="001A6A48"/>
    <w:rsid w:val="001A7159"/>
    <w:rsid w:val="001A792E"/>
    <w:rsid w:val="001B16F1"/>
    <w:rsid w:val="001B1A1D"/>
    <w:rsid w:val="001B2F30"/>
    <w:rsid w:val="001B3A29"/>
    <w:rsid w:val="001B4751"/>
    <w:rsid w:val="001B4D13"/>
    <w:rsid w:val="001B51CE"/>
    <w:rsid w:val="001B540E"/>
    <w:rsid w:val="001B7F36"/>
    <w:rsid w:val="001C0E37"/>
    <w:rsid w:val="001C156B"/>
    <w:rsid w:val="001C28D3"/>
    <w:rsid w:val="001C439C"/>
    <w:rsid w:val="001C485D"/>
    <w:rsid w:val="001C488C"/>
    <w:rsid w:val="001C4A09"/>
    <w:rsid w:val="001C5117"/>
    <w:rsid w:val="001C5815"/>
    <w:rsid w:val="001C6201"/>
    <w:rsid w:val="001C6A76"/>
    <w:rsid w:val="001C74F7"/>
    <w:rsid w:val="001C78AE"/>
    <w:rsid w:val="001C7CD2"/>
    <w:rsid w:val="001C7E8E"/>
    <w:rsid w:val="001D139C"/>
    <w:rsid w:val="001D3906"/>
    <w:rsid w:val="001D427A"/>
    <w:rsid w:val="001D45A4"/>
    <w:rsid w:val="001D4D20"/>
    <w:rsid w:val="001D661D"/>
    <w:rsid w:val="001D7023"/>
    <w:rsid w:val="001E14AE"/>
    <w:rsid w:val="001E3A5B"/>
    <w:rsid w:val="001E552A"/>
    <w:rsid w:val="001E5623"/>
    <w:rsid w:val="001E63BA"/>
    <w:rsid w:val="001E6DC2"/>
    <w:rsid w:val="001E7840"/>
    <w:rsid w:val="001E7CF5"/>
    <w:rsid w:val="001F08AE"/>
    <w:rsid w:val="001F0D09"/>
    <w:rsid w:val="001F0EF5"/>
    <w:rsid w:val="001F1A56"/>
    <w:rsid w:val="001F4720"/>
    <w:rsid w:val="001F50DA"/>
    <w:rsid w:val="001F6EB1"/>
    <w:rsid w:val="001F7267"/>
    <w:rsid w:val="002003BE"/>
    <w:rsid w:val="00201009"/>
    <w:rsid w:val="00203245"/>
    <w:rsid w:val="00205EEF"/>
    <w:rsid w:val="00205F44"/>
    <w:rsid w:val="00206142"/>
    <w:rsid w:val="0020722D"/>
    <w:rsid w:val="00207E9F"/>
    <w:rsid w:val="002105F8"/>
    <w:rsid w:val="00210C2A"/>
    <w:rsid w:val="00211625"/>
    <w:rsid w:val="00215EE7"/>
    <w:rsid w:val="002200E2"/>
    <w:rsid w:val="00220826"/>
    <w:rsid w:val="002208F1"/>
    <w:rsid w:val="00223728"/>
    <w:rsid w:val="00223D87"/>
    <w:rsid w:val="00223D99"/>
    <w:rsid w:val="00224D96"/>
    <w:rsid w:val="00224FAC"/>
    <w:rsid w:val="002268AB"/>
    <w:rsid w:val="00226F00"/>
    <w:rsid w:val="0022716F"/>
    <w:rsid w:val="0022749C"/>
    <w:rsid w:val="00227692"/>
    <w:rsid w:val="00227C77"/>
    <w:rsid w:val="00230CE3"/>
    <w:rsid w:val="0023173E"/>
    <w:rsid w:val="0023368F"/>
    <w:rsid w:val="00233887"/>
    <w:rsid w:val="00233A88"/>
    <w:rsid w:val="002349B5"/>
    <w:rsid w:val="002354D8"/>
    <w:rsid w:val="00235F00"/>
    <w:rsid w:val="00237442"/>
    <w:rsid w:val="002404F0"/>
    <w:rsid w:val="00241461"/>
    <w:rsid w:val="00241B9A"/>
    <w:rsid w:val="0024226F"/>
    <w:rsid w:val="0024352C"/>
    <w:rsid w:val="00243A02"/>
    <w:rsid w:val="002449B2"/>
    <w:rsid w:val="00245342"/>
    <w:rsid w:val="00245E1D"/>
    <w:rsid w:val="002462BD"/>
    <w:rsid w:val="00247F26"/>
    <w:rsid w:val="00250D38"/>
    <w:rsid w:val="00251031"/>
    <w:rsid w:val="00252BE9"/>
    <w:rsid w:val="00255660"/>
    <w:rsid w:val="002559A9"/>
    <w:rsid w:val="00256FF0"/>
    <w:rsid w:val="002571AE"/>
    <w:rsid w:val="00260712"/>
    <w:rsid w:val="00263339"/>
    <w:rsid w:val="0026436B"/>
    <w:rsid w:val="00265855"/>
    <w:rsid w:val="00265947"/>
    <w:rsid w:val="00265A4D"/>
    <w:rsid w:val="00266F87"/>
    <w:rsid w:val="00267CD4"/>
    <w:rsid w:val="00271D71"/>
    <w:rsid w:val="00273816"/>
    <w:rsid w:val="00274245"/>
    <w:rsid w:val="00274495"/>
    <w:rsid w:val="00274DE4"/>
    <w:rsid w:val="00275A66"/>
    <w:rsid w:val="00275A78"/>
    <w:rsid w:val="00276AF6"/>
    <w:rsid w:val="00277F65"/>
    <w:rsid w:val="002809F6"/>
    <w:rsid w:val="0028290A"/>
    <w:rsid w:val="00283303"/>
    <w:rsid w:val="0028375E"/>
    <w:rsid w:val="00284F6B"/>
    <w:rsid w:val="00285D8A"/>
    <w:rsid w:val="00286C23"/>
    <w:rsid w:val="00287F32"/>
    <w:rsid w:val="00290D71"/>
    <w:rsid w:val="0029134D"/>
    <w:rsid w:val="00291AF2"/>
    <w:rsid w:val="00294ADE"/>
    <w:rsid w:val="00295B6F"/>
    <w:rsid w:val="002978C8"/>
    <w:rsid w:val="00297C72"/>
    <w:rsid w:val="00297E30"/>
    <w:rsid w:val="002A00F5"/>
    <w:rsid w:val="002A00F6"/>
    <w:rsid w:val="002A0B32"/>
    <w:rsid w:val="002A15DE"/>
    <w:rsid w:val="002A2F50"/>
    <w:rsid w:val="002A325D"/>
    <w:rsid w:val="002A33D3"/>
    <w:rsid w:val="002A4B83"/>
    <w:rsid w:val="002A5CA6"/>
    <w:rsid w:val="002A5CD4"/>
    <w:rsid w:val="002A5E96"/>
    <w:rsid w:val="002A6430"/>
    <w:rsid w:val="002A6A4F"/>
    <w:rsid w:val="002A7351"/>
    <w:rsid w:val="002A77BC"/>
    <w:rsid w:val="002A79C5"/>
    <w:rsid w:val="002B10EB"/>
    <w:rsid w:val="002B11A8"/>
    <w:rsid w:val="002B26B7"/>
    <w:rsid w:val="002B296C"/>
    <w:rsid w:val="002B2D73"/>
    <w:rsid w:val="002B411F"/>
    <w:rsid w:val="002C2472"/>
    <w:rsid w:val="002C2495"/>
    <w:rsid w:val="002C26D9"/>
    <w:rsid w:val="002C4476"/>
    <w:rsid w:val="002C4EAD"/>
    <w:rsid w:val="002C62DE"/>
    <w:rsid w:val="002D0B33"/>
    <w:rsid w:val="002D1239"/>
    <w:rsid w:val="002D20D7"/>
    <w:rsid w:val="002D26AA"/>
    <w:rsid w:val="002D3BB8"/>
    <w:rsid w:val="002D49D1"/>
    <w:rsid w:val="002D6FBB"/>
    <w:rsid w:val="002D75A6"/>
    <w:rsid w:val="002D76EB"/>
    <w:rsid w:val="002D7EDF"/>
    <w:rsid w:val="002E10FF"/>
    <w:rsid w:val="002E1695"/>
    <w:rsid w:val="002E2185"/>
    <w:rsid w:val="002E35F6"/>
    <w:rsid w:val="002E388E"/>
    <w:rsid w:val="002E4422"/>
    <w:rsid w:val="002E51CA"/>
    <w:rsid w:val="002E6B49"/>
    <w:rsid w:val="002E79E0"/>
    <w:rsid w:val="002F03F3"/>
    <w:rsid w:val="002F0712"/>
    <w:rsid w:val="002F0FC7"/>
    <w:rsid w:val="002F417B"/>
    <w:rsid w:val="002F6ADC"/>
    <w:rsid w:val="00300C95"/>
    <w:rsid w:val="00300FE5"/>
    <w:rsid w:val="0030366B"/>
    <w:rsid w:val="00303A9C"/>
    <w:rsid w:val="003047EA"/>
    <w:rsid w:val="00305104"/>
    <w:rsid w:val="00305444"/>
    <w:rsid w:val="003054A8"/>
    <w:rsid w:val="0030571D"/>
    <w:rsid w:val="00306770"/>
    <w:rsid w:val="00307793"/>
    <w:rsid w:val="00307CDC"/>
    <w:rsid w:val="00307DA3"/>
    <w:rsid w:val="00310A12"/>
    <w:rsid w:val="00311689"/>
    <w:rsid w:val="00312EA1"/>
    <w:rsid w:val="0031469D"/>
    <w:rsid w:val="00315B33"/>
    <w:rsid w:val="00320D1C"/>
    <w:rsid w:val="0032215C"/>
    <w:rsid w:val="00322A2B"/>
    <w:rsid w:val="00322EC2"/>
    <w:rsid w:val="00323CE0"/>
    <w:rsid w:val="0032484E"/>
    <w:rsid w:val="00325646"/>
    <w:rsid w:val="00325C24"/>
    <w:rsid w:val="00326F7F"/>
    <w:rsid w:val="00327712"/>
    <w:rsid w:val="00327D31"/>
    <w:rsid w:val="003305CA"/>
    <w:rsid w:val="00331C6C"/>
    <w:rsid w:val="00333887"/>
    <w:rsid w:val="00334545"/>
    <w:rsid w:val="00334791"/>
    <w:rsid w:val="003374F2"/>
    <w:rsid w:val="0034025A"/>
    <w:rsid w:val="0034064A"/>
    <w:rsid w:val="003428BE"/>
    <w:rsid w:val="00344BEC"/>
    <w:rsid w:val="0034564D"/>
    <w:rsid w:val="00345C8B"/>
    <w:rsid w:val="00346416"/>
    <w:rsid w:val="00346807"/>
    <w:rsid w:val="00347CC2"/>
    <w:rsid w:val="003519EC"/>
    <w:rsid w:val="00352F14"/>
    <w:rsid w:val="00353390"/>
    <w:rsid w:val="00354680"/>
    <w:rsid w:val="00354AF0"/>
    <w:rsid w:val="00355471"/>
    <w:rsid w:val="00355542"/>
    <w:rsid w:val="003566F9"/>
    <w:rsid w:val="00357842"/>
    <w:rsid w:val="00357AB3"/>
    <w:rsid w:val="00360A4C"/>
    <w:rsid w:val="00360C86"/>
    <w:rsid w:val="00360FA5"/>
    <w:rsid w:val="003620C3"/>
    <w:rsid w:val="00362404"/>
    <w:rsid w:val="00363568"/>
    <w:rsid w:val="00363AE2"/>
    <w:rsid w:val="0036479D"/>
    <w:rsid w:val="00365CF4"/>
    <w:rsid w:val="003661D7"/>
    <w:rsid w:val="00366EA1"/>
    <w:rsid w:val="0037088D"/>
    <w:rsid w:val="003715C7"/>
    <w:rsid w:val="003721F0"/>
    <w:rsid w:val="00372239"/>
    <w:rsid w:val="00372AC1"/>
    <w:rsid w:val="00372B53"/>
    <w:rsid w:val="00373873"/>
    <w:rsid w:val="00375B73"/>
    <w:rsid w:val="0037621D"/>
    <w:rsid w:val="00376871"/>
    <w:rsid w:val="00377498"/>
    <w:rsid w:val="00377D2A"/>
    <w:rsid w:val="003802F4"/>
    <w:rsid w:val="00380B4E"/>
    <w:rsid w:val="00381095"/>
    <w:rsid w:val="003810CC"/>
    <w:rsid w:val="00382674"/>
    <w:rsid w:val="003831AB"/>
    <w:rsid w:val="003854E1"/>
    <w:rsid w:val="00385A33"/>
    <w:rsid w:val="003867F0"/>
    <w:rsid w:val="00387161"/>
    <w:rsid w:val="00390C06"/>
    <w:rsid w:val="00393E91"/>
    <w:rsid w:val="00394F86"/>
    <w:rsid w:val="00395CD7"/>
    <w:rsid w:val="00397209"/>
    <w:rsid w:val="003A04C4"/>
    <w:rsid w:val="003A24BB"/>
    <w:rsid w:val="003A24F0"/>
    <w:rsid w:val="003A2DCE"/>
    <w:rsid w:val="003A3389"/>
    <w:rsid w:val="003A39AD"/>
    <w:rsid w:val="003A3A34"/>
    <w:rsid w:val="003A4EAF"/>
    <w:rsid w:val="003A513D"/>
    <w:rsid w:val="003A63D1"/>
    <w:rsid w:val="003B0E24"/>
    <w:rsid w:val="003B1C40"/>
    <w:rsid w:val="003B5487"/>
    <w:rsid w:val="003B54B2"/>
    <w:rsid w:val="003B5DB1"/>
    <w:rsid w:val="003B6A2F"/>
    <w:rsid w:val="003C047D"/>
    <w:rsid w:val="003C08A7"/>
    <w:rsid w:val="003C17E4"/>
    <w:rsid w:val="003C1DA3"/>
    <w:rsid w:val="003C459A"/>
    <w:rsid w:val="003C4F86"/>
    <w:rsid w:val="003C5045"/>
    <w:rsid w:val="003C5680"/>
    <w:rsid w:val="003C64E9"/>
    <w:rsid w:val="003C74E7"/>
    <w:rsid w:val="003C789B"/>
    <w:rsid w:val="003D09FA"/>
    <w:rsid w:val="003D1E23"/>
    <w:rsid w:val="003D2070"/>
    <w:rsid w:val="003D2B64"/>
    <w:rsid w:val="003D5779"/>
    <w:rsid w:val="003D6850"/>
    <w:rsid w:val="003D7071"/>
    <w:rsid w:val="003D795F"/>
    <w:rsid w:val="003E0950"/>
    <w:rsid w:val="003E253B"/>
    <w:rsid w:val="003E26C5"/>
    <w:rsid w:val="003E2BE5"/>
    <w:rsid w:val="003E4B18"/>
    <w:rsid w:val="003E59DF"/>
    <w:rsid w:val="003F0A4C"/>
    <w:rsid w:val="003F144C"/>
    <w:rsid w:val="003F2E2F"/>
    <w:rsid w:val="003F306C"/>
    <w:rsid w:val="003F424B"/>
    <w:rsid w:val="003F53AE"/>
    <w:rsid w:val="003F5B4C"/>
    <w:rsid w:val="003F6346"/>
    <w:rsid w:val="003F647F"/>
    <w:rsid w:val="003F6630"/>
    <w:rsid w:val="003F77AF"/>
    <w:rsid w:val="003F79FC"/>
    <w:rsid w:val="004011D8"/>
    <w:rsid w:val="00403614"/>
    <w:rsid w:val="00404FEF"/>
    <w:rsid w:val="004051CB"/>
    <w:rsid w:val="0040673D"/>
    <w:rsid w:val="00406F54"/>
    <w:rsid w:val="004072D1"/>
    <w:rsid w:val="00410CFC"/>
    <w:rsid w:val="00410FE7"/>
    <w:rsid w:val="004111D2"/>
    <w:rsid w:val="00412DF3"/>
    <w:rsid w:val="004136B7"/>
    <w:rsid w:val="00413ED4"/>
    <w:rsid w:val="00414B10"/>
    <w:rsid w:val="0041600C"/>
    <w:rsid w:val="00416423"/>
    <w:rsid w:val="004167F2"/>
    <w:rsid w:val="004178DC"/>
    <w:rsid w:val="00420A95"/>
    <w:rsid w:val="00420E4C"/>
    <w:rsid w:val="00421581"/>
    <w:rsid w:val="004228F6"/>
    <w:rsid w:val="0042416D"/>
    <w:rsid w:val="00424201"/>
    <w:rsid w:val="00424B09"/>
    <w:rsid w:val="00424BCA"/>
    <w:rsid w:val="00424CD5"/>
    <w:rsid w:val="00425CF7"/>
    <w:rsid w:val="00425E05"/>
    <w:rsid w:val="00426BE9"/>
    <w:rsid w:val="00427141"/>
    <w:rsid w:val="004272F4"/>
    <w:rsid w:val="0043018C"/>
    <w:rsid w:val="004335E7"/>
    <w:rsid w:val="00433684"/>
    <w:rsid w:val="0043373B"/>
    <w:rsid w:val="00433FBF"/>
    <w:rsid w:val="0043479D"/>
    <w:rsid w:val="00434866"/>
    <w:rsid w:val="00435478"/>
    <w:rsid w:val="004354C4"/>
    <w:rsid w:val="00436B79"/>
    <w:rsid w:val="00437BD6"/>
    <w:rsid w:val="00440507"/>
    <w:rsid w:val="0044060E"/>
    <w:rsid w:val="00440EDE"/>
    <w:rsid w:val="00441FDD"/>
    <w:rsid w:val="004420ED"/>
    <w:rsid w:val="00442C7E"/>
    <w:rsid w:val="00443551"/>
    <w:rsid w:val="0044655A"/>
    <w:rsid w:val="00447969"/>
    <w:rsid w:val="00447A55"/>
    <w:rsid w:val="0045096B"/>
    <w:rsid w:val="00450CCE"/>
    <w:rsid w:val="00450D85"/>
    <w:rsid w:val="004529D2"/>
    <w:rsid w:val="00453214"/>
    <w:rsid w:val="00453967"/>
    <w:rsid w:val="00453FB6"/>
    <w:rsid w:val="004542B7"/>
    <w:rsid w:val="004546DC"/>
    <w:rsid w:val="00457A6E"/>
    <w:rsid w:val="004600E5"/>
    <w:rsid w:val="004616BE"/>
    <w:rsid w:val="00461BF8"/>
    <w:rsid w:val="004629DC"/>
    <w:rsid w:val="00462BE8"/>
    <w:rsid w:val="00462EA3"/>
    <w:rsid w:val="00463108"/>
    <w:rsid w:val="00463386"/>
    <w:rsid w:val="00463D4E"/>
    <w:rsid w:val="00467275"/>
    <w:rsid w:val="00470BA0"/>
    <w:rsid w:val="004718A8"/>
    <w:rsid w:val="004725F4"/>
    <w:rsid w:val="00473727"/>
    <w:rsid w:val="0047507F"/>
    <w:rsid w:val="004750CB"/>
    <w:rsid w:val="00475904"/>
    <w:rsid w:val="0047595B"/>
    <w:rsid w:val="00475B66"/>
    <w:rsid w:val="00477439"/>
    <w:rsid w:val="00477814"/>
    <w:rsid w:val="00480320"/>
    <w:rsid w:val="004813E6"/>
    <w:rsid w:val="00481675"/>
    <w:rsid w:val="004823DC"/>
    <w:rsid w:val="00483945"/>
    <w:rsid w:val="004843A8"/>
    <w:rsid w:val="00484A69"/>
    <w:rsid w:val="00485546"/>
    <w:rsid w:val="00485A3D"/>
    <w:rsid w:val="00486B7C"/>
    <w:rsid w:val="00490C62"/>
    <w:rsid w:val="004926B4"/>
    <w:rsid w:val="004928C4"/>
    <w:rsid w:val="004933CD"/>
    <w:rsid w:val="004949E4"/>
    <w:rsid w:val="00494B73"/>
    <w:rsid w:val="00494DC2"/>
    <w:rsid w:val="00496135"/>
    <w:rsid w:val="0049673E"/>
    <w:rsid w:val="00496C34"/>
    <w:rsid w:val="0049728B"/>
    <w:rsid w:val="004A021B"/>
    <w:rsid w:val="004A05ED"/>
    <w:rsid w:val="004A2AFD"/>
    <w:rsid w:val="004A37EA"/>
    <w:rsid w:val="004A4424"/>
    <w:rsid w:val="004A6E5B"/>
    <w:rsid w:val="004B033C"/>
    <w:rsid w:val="004B0651"/>
    <w:rsid w:val="004B08DC"/>
    <w:rsid w:val="004B1102"/>
    <w:rsid w:val="004B1F82"/>
    <w:rsid w:val="004B26C3"/>
    <w:rsid w:val="004B28BF"/>
    <w:rsid w:val="004B383F"/>
    <w:rsid w:val="004B435B"/>
    <w:rsid w:val="004B56B0"/>
    <w:rsid w:val="004B70DE"/>
    <w:rsid w:val="004C2093"/>
    <w:rsid w:val="004C23D4"/>
    <w:rsid w:val="004C3104"/>
    <w:rsid w:val="004C3B61"/>
    <w:rsid w:val="004C3C21"/>
    <w:rsid w:val="004C575B"/>
    <w:rsid w:val="004C5917"/>
    <w:rsid w:val="004C5926"/>
    <w:rsid w:val="004C5E48"/>
    <w:rsid w:val="004C7C1F"/>
    <w:rsid w:val="004D0778"/>
    <w:rsid w:val="004D3964"/>
    <w:rsid w:val="004D39BA"/>
    <w:rsid w:val="004D417E"/>
    <w:rsid w:val="004D45F3"/>
    <w:rsid w:val="004D4857"/>
    <w:rsid w:val="004D515B"/>
    <w:rsid w:val="004D75F6"/>
    <w:rsid w:val="004D7D7E"/>
    <w:rsid w:val="004D7E87"/>
    <w:rsid w:val="004E141A"/>
    <w:rsid w:val="004E159A"/>
    <w:rsid w:val="004E18B4"/>
    <w:rsid w:val="004E196A"/>
    <w:rsid w:val="004E2344"/>
    <w:rsid w:val="004E424B"/>
    <w:rsid w:val="004E491A"/>
    <w:rsid w:val="004E71FE"/>
    <w:rsid w:val="004F15A4"/>
    <w:rsid w:val="004F1BCB"/>
    <w:rsid w:val="004F2150"/>
    <w:rsid w:val="004F24D0"/>
    <w:rsid w:val="004F2522"/>
    <w:rsid w:val="004F2AAB"/>
    <w:rsid w:val="004F33BF"/>
    <w:rsid w:val="004F37E2"/>
    <w:rsid w:val="004F3864"/>
    <w:rsid w:val="004F3921"/>
    <w:rsid w:val="004F3BD8"/>
    <w:rsid w:val="004F4549"/>
    <w:rsid w:val="004F5785"/>
    <w:rsid w:val="004F65E7"/>
    <w:rsid w:val="004F7B9C"/>
    <w:rsid w:val="00502E10"/>
    <w:rsid w:val="00504BE4"/>
    <w:rsid w:val="00505009"/>
    <w:rsid w:val="00505D50"/>
    <w:rsid w:val="00506229"/>
    <w:rsid w:val="00506BF4"/>
    <w:rsid w:val="00506C8C"/>
    <w:rsid w:val="00506FB1"/>
    <w:rsid w:val="00507097"/>
    <w:rsid w:val="00511A74"/>
    <w:rsid w:val="00511BCD"/>
    <w:rsid w:val="00513B1B"/>
    <w:rsid w:val="00515C20"/>
    <w:rsid w:val="0051600D"/>
    <w:rsid w:val="00516BBA"/>
    <w:rsid w:val="00516FB2"/>
    <w:rsid w:val="0051706E"/>
    <w:rsid w:val="00517802"/>
    <w:rsid w:val="0052043B"/>
    <w:rsid w:val="00520F9C"/>
    <w:rsid w:val="005224A4"/>
    <w:rsid w:val="0052273E"/>
    <w:rsid w:val="00522879"/>
    <w:rsid w:val="00523088"/>
    <w:rsid w:val="00524DCE"/>
    <w:rsid w:val="00525050"/>
    <w:rsid w:val="00525BC3"/>
    <w:rsid w:val="00525D9F"/>
    <w:rsid w:val="00527272"/>
    <w:rsid w:val="00527A73"/>
    <w:rsid w:val="0053110F"/>
    <w:rsid w:val="00532725"/>
    <w:rsid w:val="005330F5"/>
    <w:rsid w:val="00533F5A"/>
    <w:rsid w:val="00533FEF"/>
    <w:rsid w:val="00534BC6"/>
    <w:rsid w:val="00535C81"/>
    <w:rsid w:val="00535CA1"/>
    <w:rsid w:val="0053615D"/>
    <w:rsid w:val="0053662C"/>
    <w:rsid w:val="00540E0A"/>
    <w:rsid w:val="0054140C"/>
    <w:rsid w:val="005426AA"/>
    <w:rsid w:val="00543D1C"/>
    <w:rsid w:val="00545D29"/>
    <w:rsid w:val="005461E3"/>
    <w:rsid w:val="00546D8E"/>
    <w:rsid w:val="00546FDD"/>
    <w:rsid w:val="005500B9"/>
    <w:rsid w:val="005507C4"/>
    <w:rsid w:val="00550A4E"/>
    <w:rsid w:val="00551340"/>
    <w:rsid w:val="005526E8"/>
    <w:rsid w:val="00552E27"/>
    <w:rsid w:val="005571CF"/>
    <w:rsid w:val="005606FD"/>
    <w:rsid w:val="00561AE9"/>
    <w:rsid w:val="00563759"/>
    <w:rsid w:val="005644FC"/>
    <w:rsid w:val="005645EA"/>
    <w:rsid w:val="00564F36"/>
    <w:rsid w:val="00565A52"/>
    <w:rsid w:val="00565C98"/>
    <w:rsid w:val="00565FA9"/>
    <w:rsid w:val="0056638C"/>
    <w:rsid w:val="00566AD8"/>
    <w:rsid w:val="005679E1"/>
    <w:rsid w:val="00567B97"/>
    <w:rsid w:val="00567E90"/>
    <w:rsid w:val="00570B86"/>
    <w:rsid w:val="005732EB"/>
    <w:rsid w:val="00574AD7"/>
    <w:rsid w:val="005769C9"/>
    <w:rsid w:val="005803BF"/>
    <w:rsid w:val="00580644"/>
    <w:rsid w:val="00582FAD"/>
    <w:rsid w:val="005836E8"/>
    <w:rsid w:val="00583D8C"/>
    <w:rsid w:val="00585E08"/>
    <w:rsid w:val="00585F7E"/>
    <w:rsid w:val="0059001D"/>
    <w:rsid w:val="00592105"/>
    <w:rsid w:val="0059243F"/>
    <w:rsid w:val="005926B4"/>
    <w:rsid w:val="005945B0"/>
    <w:rsid w:val="0059499A"/>
    <w:rsid w:val="00594ABF"/>
    <w:rsid w:val="00595CCF"/>
    <w:rsid w:val="0059681C"/>
    <w:rsid w:val="00597C86"/>
    <w:rsid w:val="005A05AF"/>
    <w:rsid w:val="005A06DD"/>
    <w:rsid w:val="005A0B9E"/>
    <w:rsid w:val="005A11E6"/>
    <w:rsid w:val="005A2484"/>
    <w:rsid w:val="005A2B4C"/>
    <w:rsid w:val="005A5C12"/>
    <w:rsid w:val="005A6A61"/>
    <w:rsid w:val="005B0968"/>
    <w:rsid w:val="005B0B16"/>
    <w:rsid w:val="005B207E"/>
    <w:rsid w:val="005B2484"/>
    <w:rsid w:val="005B3871"/>
    <w:rsid w:val="005B4D34"/>
    <w:rsid w:val="005B5763"/>
    <w:rsid w:val="005B659D"/>
    <w:rsid w:val="005B6B98"/>
    <w:rsid w:val="005B7875"/>
    <w:rsid w:val="005B794B"/>
    <w:rsid w:val="005C1326"/>
    <w:rsid w:val="005C1D15"/>
    <w:rsid w:val="005C2326"/>
    <w:rsid w:val="005C3527"/>
    <w:rsid w:val="005C49D1"/>
    <w:rsid w:val="005C4B02"/>
    <w:rsid w:val="005C56CF"/>
    <w:rsid w:val="005D09F9"/>
    <w:rsid w:val="005D3619"/>
    <w:rsid w:val="005D4120"/>
    <w:rsid w:val="005D4BE1"/>
    <w:rsid w:val="005D5737"/>
    <w:rsid w:val="005D5D84"/>
    <w:rsid w:val="005D6757"/>
    <w:rsid w:val="005D6E77"/>
    <w:rsid w:val="005E090F"/>
    <w:rsid w:val="005E1942"/>
    <w:rsid w:val="005E2DC5"/>
    <w:rsid w:val="005E3458"/>
    <w:rsid w:val="005E3C56"/>
    <w:rsid w:val="005E4EA6"/>
    <w:rsid w:val="005E62D6"/>
    <w:rsid w:val="005E6921"/>
    <w:rsid w:val="005E7C9F"/>
    <w:rsid w:val="005F0206"/>
    <w:rsid w:val="005F0384"/>
    <w:rsid w:val="005F0FBF"/>
    <w:rsid w:val="005F22AB"/>
    <w:rsid w:val="005F2B53"/>
    <w:rsid w:val="005F4C31"/>
    <w:rsid w:val="005F57F9"/>
    <w:rsid w:val="00600467"/>
    <w:rsid w:val="0060102E"/>
    <w:rsid w:val="00601263"/>
    <w:rsid w:val="006014A0"/>
    <w:rsid w:val="00601A93"/>
    <w:rsid w:val="00601D18"/>
    <w:rsid w:val="006029E0"/>
    <w:rsid w:val="00602F71"/>
    <w:rsid w:val="0060330F"/>
    <w:rsid w:val="006033F0"/>
    <w:rsid w:val="006040A4"/>
    <w:rsid w:val="006071E5"/>
    <w:rsid w:val="00610385"/>
    <w:rsid w:val="00610C15"/>
    <w:rsid w:val="0061100A"/>
    <w:rsid w:val="00614971"/>
    <w:rsid w:val="00614976"/>
    <w:rsid w:val="00614A19"/>
    <w:rsid w:val="00615BE8"/>
    <w:rsid w:val="00615C33"/>
    <w:rsid w:val="00616C9D"/>
    <w:rsid w:val="00617A98"/>
    <w:rsid w:val="0062068A"/>
    <w:rsid w:val="00621676"/>
    <w:rsid w:val="00621B68"/>
    <w:rsid w:val="00622A0A"/>
    <w:rsid w:val="00623E3C"/>
    <w:rsid w:val="006249CC"/>
    <w:rsid w:val="00626347"/>
    <w:rsid w:val="006263F0"/>
    <w:rsid w:val="00626B8C"/>
    <w:rsid w:val="00627218"/>
    <w:rsid w:val="0063012F"/>
    <w:rsid w:val="0063159D"/>
    <w:rsid w:val="0063162E"/>
    <w:rsid w:val="0063266C"/>
    <w:rsid w:val="00632DF0"/>
    <w:rsid w:val="00634336"/>
    <w:rsid w:val="006355D1"/>
    <w:rsid w:val="00635DD4"/>
    <w:rsid w:val="006368FE"/>
    <w:rsid w:val="00637337"/>
    <w:rsid w:val="00637692"/>
    <w:rsid w:val="00645526"/>
    <w:rsid w:val="00646820"/>
    <w:rsid w:val="0064704A"/>
    <w:rsid w:val="0065006A"/>
    <w:rsid w:val="00650D50"/>
    <w:rsid w:val="0065196A"/>
    <w:rsid w:val="00651D10"/>
    <w:rsid w:val="00653209"/>
    <w:rsid w:val="006546A2"/>
    <w:rsid w:val="00654F18"/>
    <w:rsid w:val="006570DE"/>
    <w:rsid w:val="00657318"/>
    <w:rsid w:val="006606C6"/>
    <w:rsid w:val="00660BCC"/>
    <w:rsid w:val="006619C1"/>
    <w:rsid w:val="006619D9"/>
    <w:rsid w:val="00661C84"/>
    <w:rsid w:val="006624F5"/>
    <w:rsid w:val="00667B28"/>
    <w:rsid w:val="00667D71"/>
    <w:rsid w:val="00670AB7"/>
    <w:rsid w:val="006726AA"/>
    <w:rsid w:val="00673017"/>
    <w:rsid w:val="00675042"/>
    <w:rsid w:val="00675560"/>
    <w:rsid w:val="00675B94"/>
    <w:rsid w:val="00676F3A"/>
    <w:rsid w:val="0067719A"/>
    <w:rsid w:val="006776AE"/>
    <w:rsid w:val="00682351"/>
    <w:rsid w:val="006825A7"/>
    <w:rsid w:val="006827D2"/>
    <w:rsid w:val="00683A54"/>
    <w:rsid w:val="00683C73"/>
    <w:rsid w:val="00684126"/>
    <w:rsid w:val="00690442"/>
    <w:rsid w:val="006916AD"/>
    <w:rsid w:val="00692E05"/>
    <w:rsid w:val="00693254"/>
    <w:rsid w:val="00693330"/>
    <w:rsid w:val="00693F10"/>
    <w:rsid w:val="00694B4F"/>
    <w:rsid w:val="00694F38"/>
    <w:rsid w:val="0069798F"/>
    <w:rsid w:val="00697A3E"/>
    <w:rsid w:val="00697E57"/>
    <w:rsid w:val="006A118D"/>
    <w:rsid w:val="006A1B72"/>
    <w:rsid w:val="006A2770"/>
    <w:rsid w:val="006A33CC"/>
    <w:rsid w:val="006A3972"/>
    <w:rsid w:val="006A66E8"/>
    <w:rsid w:val="006A712D"/>
    <w:rsid w:val="006A71DC"/>
    <w:rsid w:val="006B01E5"/>
    <w:rsid w:val="006B03FB"/>
    <w:rsid w:val="006B0AF5"/>
    <w:rsid w:val="006B2268"/>
    <w:rsid w:val="006B3F02"/>
    <w:rsid w:val="006B58A5"/>
    <w:rsid w:val="006B5F8F"/>
    <w:rsid w:val="006C0391"/>
    <w:rsid w:val="006C063B"/>
    <w:rsid w:val="006C0870"/>
    <w:rsid w:val="006C0CFF"/>
    <w:rsid w:val="006C12AE"/>
    <w:rsid w:val="006C4114"/>
    <w:rsid w:val="006C4807"/>
    <w:rsid w:val="006C5AC8"/>
    <w:rsid w:val="006C7ABB"/>
    <w:rsid w:val="006D0608"/>
    <w:rsid w:val="006D0952"/>
    <w:rsid w:val="006D0B1D"/>
    <w:rsid w:val="006D14C4"/>
    <w:rsid w:val="006D259A"/>
    <w:rsid w:val="006D27A6"/>
    <w:rsid w:val="006D3EE7"/>
    <w:rsid w:val="006D41D9"/>
    <w:rsid w:val="006D5F3E"/>
    <w:rsid w:val="006D6522"/>
    <w:rsid w:val="006D6960"/>
    <w:rsid w:val="006E101D"/>
    <w:rsid w:val="006E207F"/>
    <w:rsid w:val="006E28ED"/>
    <w:rsid w:val="006E614B"/>
    <w:rsid w:val="006E6A06"/>
    <w:rsid w:val="006E6F8C"/>
    <w:rsid w:val="006E7013"/>
    <w:rsid w:val="006E76BE"/>
    <w:rsid w:val="006F0918"/>
    <w:rsid w:val="006F1CC0"/>
    <w:rsid w:val="006F2881"/>
    <w:rsid w:val="006F56A2"/>
    <w:rsid w:val="006F5960"/>
    <w:rsid w:val="006F5C9A"/>
    <w:rsid w:val="006F6E04"/>
    <w:rsid w:val="006F797B"/>
    <w:rsid w:val="00700EBE"/>
    <w:rsid w:val="007039AB"/>
    <w:rsid w:val="00704D78"/>
    <w:rsid w:val="00705AD6"/>
    <w:rsid w:val="007063CB"/>
    <w:rsid w:val="007063EE"/>
    <w:rsid w:val="00706B4F"/>
    <w:rsid w:val="007072FB"/>
    <w:rsid w:val="00707314"/>
    <w:rsid w:val="0070738D"/>
    <w:rsid w:val="007073D0"/>
    <w:rsid w:val="007118E1"/>
    <w:rsid w:val="0071316D"/>
    <w:rsid w:val="00713296"/>
    <w:rsid w:val="00713A89"/>
    <w:rsid w:val="007140B9"/>
    <w:rsid w:val="00714C95"/>
    <w:rsid w:val="00715342"/>
    <w:rsid w:val="007159E2"/>
    <w:rsid w:val="00716AB6"/>
    <w:rsid w:val="00717216"/>
    <w:rsid w:val="00720677"/>
    <w:rsid w:val="00721DF0"/>
    <w:rsid w:val="00721FB3"/>
    <w:rsid w:val="0072264C"/>
    <w:rsid w:val="00722BB6"/>
    <w:rsid w:val="00722F56"/>
    <w:rsid w:val="00723745"/>
    <w:rsid w:val="00723CDE"/>
    <w:rsid w:val="00724905"/>
    <w:rsid w:val="007254FA"/>
    <w:rsid w:val="00725EBC"/>
    <w:rsid w:val="0072602B"/>
    <w:rsid w:val="00726EF1"/>
    <w:rsid w:val="00727ECE"/>
    <w:rsid w:val="00731851"/>
    <w:rsid w:val="007343B8"/>
    <w:rsid w:val="00734E27"/>
    <w:rsid w:val="00736715"/>
    <w:rsid w:val="00736A57"/>
    <w:rsid w:val="00736BF1"/>
    <w:rsid w:val="007371B5"/>
    <w:rsid w:val="00737D35"/>
    <w:rsid w:val="00741DA2"/>
    <w:rsid w:val="007427D9"/>
    <w:rsid w:val="0074283B"/>
    <w:rsid w:val="00743338"/>
    <w:rsid w:val="0074493E"/>
    <w:rsid w:val="00745688"/>
    <w:rsid w:val="00747EEA"/>
    <w:rsid w:val="007511E4"/>
    <w:rsid w:val="0075416E"/>
    <w:rsid w:val="007546CC"/>
    <w:rsid w:val="00754DDD"/>
    <w:rsid w:val="00755339"/>
    <w:rsid w:val="007556CD"/>
    <w:rsid w:val="007600FA"/>
    <w:rsid w:val="00760112"/>
    <w:rsid w:val="0076093D"/>
    <w:rsid w:val="0076096E"/>
    <w:rsid w:val="00761DA0"/>
    <w:rsid w:val="007622D7"/>
    <w:rsid w:val="00762556"/>
    <w:rsid w:val="0076394F"/>
    <w:rsid w:val="00766C36"/>
    <w:rsid w:val="00766FAC"/>
    <w:rsid w:val="00767A93"/>
    <w:rsid w:val="0077157B"/>
    <w:rsid w:val="007726CD"/>
    <w:rsid w:val="00776B76"/>
    <w:rsid w:val="00780ACE"/>
    <w:rsid w:val="00781B94"/>
    <w:rsid w:val="007825F2"/>
    <w:rsid w:val="00784659"/>
    <w:rsid w:val="00784A3C"/>
    <w:rsid w:val="00787E05"/>
    <w:rsid w:val="00792A59"/>
    <w:rsid w:val="00792F6F"/>
    <w:rsid w:val="00793B5F"/>
    <w:rsid w:val="00793BD7"/>
    <w:rsid w:val="0079466D"/>
    <w:rsid w:val="007970D6"/>
    <w:rsid w:val="007A087E"/>
    <w:rsid w:val="007A1081"/>
    <w:rsid w:val="007A1464"/>
    <w:rsid w:val="007A3349"/>
    <w:rsid w:val="007A368F"/>
    <w:rsid w:val="007A4195"/>
    <w:rsid w:val="007A4A3E"/>
    <w:rsid w:val="007A6897"/>
    <w:rsid w:val="007A6E4D"/>
    <w:rsid w:val="007B0678"/>
    <w:rsid w:val="007B0F11"/>
    <w:rsid w:val="007B270A"/>
    <w:rsid w:val="007B3948"/>
    <w:rsid w:val="007B461D"/>
    <w:rsid w:val="007B5052"/>
    <w:rsid w:val="007B6953"/>
    <w:rsid w:val="007B7606"/>
    <w:rsid w:val="007B7784"/>
    <w:rsid w:val="007C1094"/>
    <w:rsid w:val="007C1514"/>
    <w:rsid w:val="007C1C35"/>
    <w:rsid w:val="007C22E5"/>
    <w:rsid w:val="007C24D7"/>
    <w:rsid w:val="007C2AA0"/>
    <w:rsid w:val="007C3577"/>
    <w:rsid w:val="007C38E5"/>
    <w:rsid w:val="007C3CD0"/>
    <w:rsid w:val="007C3DE2"/>
    <w:rsid w:val="007C412C"/>
    <w:rsid w:val="007C71DE"/>
    <w:rsid w:val="007C7E4A"/>
    <w:rsid w:val="007D1FD2"/>
    <w:rsid w:val="007D2C39"/>
    <w:rsid w:val="007D2F43"/>
    <w:rsid w:val="007D4EB7"/>
    <w:rsid w:val="007D61D0"/>
    <w:rsid w:val="007D68F0"/>
    <w:rsid w:val="007D6F47"/>
    <w:rsid w:val="007D7D23"/>
    <w:rsid w:val="007E013D"/>
    <w:rsid w:val="007E0975"/>
    <w:rsid w:val="007E12C6"/>
    <w:rsid w:val="007E1505"/>
    <w:rsid w:val="007E1A6A"/>
    <w:rsid w:val="007E1EC0"/>
    <w:rsid w:val="007E2DCC"/>
    <w:rsid w:val="007E327E"/>
    <w:rsid w:val="007E36E4"/>
    <w:rsid w:val="007E49E4"/>
    <w:rsid w:val="007E5D03"/>
    <w:rsid w:val="007E5E07"/>
    <w:rsid w:val="007E6A90"/>
    <w:rsid w:val="007E7046"/>
    <w:rsid w:val="007E7352"/>
    <w:rsid w:val="007E7EE4"/>
    <w:rsid w:val="007F16F5"/>
    <w:rsid w:val="007F22A6"/>
    <w:rsid w:val="007F2AC1"/>
    <w:rsid w:val="007F2C07"/>
    <w:rsid w:val="007F3556"/>
    <w:rsid w:val="007F53C0"/>
    <w:rsid w:val="007F61E3"/>
    <w:rsid w:val="008014B9"/>
    <w:rsid w:val="00802536"/>
    <w:rsid w:val="00803097"/>
    <w:rsid w:val="00803A0D"/>
    <w:rsid w:val="00806354"/>
    <w:rsid w:val="00806E31"/>
    <w:rsid w:val="0080786C"/>
    <w:rsid w:val="008079ED"/>
    <w:rsid w:val="00807B2A"/>
    <w:rsid w:val="00810C0B"/>
    <w:rsid w:val="0081267A"/>
    <w:rsid w:val="0081281D"/>
    <w:rsid w:val="00812D06"/>
    <w:rsid w:val="00813313"/>
    <w:rsid w:val="008139FB"/>
    <w:rsid w:val="008160BD"/>
    <w:rsid w:val="008166A3"/>
    <w:rsid w:val="00816EFD"/>
    <w:rsid w:val="008175A4"/>
    <w:rsid w:val="008177C5"/>
    <w:rsid w:val="00820395"/>
    <w:rsid w:val="00820FCD"/>
    <w:rsid w:val="008212AD"/>
    <w:rsid w:val="00821E2F"/>
    <w:rsid w:val="008220FB"/>
    <w:rsid w:val="008249D9"/>
    <w:rsid w:val="00824B4F"/>
    <w:rsid w:val="008270DA"/>
    <w:rsid w:val="0083183F"/>
    <w:rsid w:val="00831D8A"/>
    <w:rsid w:val="00836140"/>
    <w:rsid w:val="00837D75"/>
    <w:rsid w:val="00840C20"/>
    <w:rsid w:val="0084199A"/>
    <w:rsid w:val="00841CC2"/>
    <w:rsid w:val="00842008"/>
    <w:rsid w:val="00843889"/>
    <w:rsid w:val="00843D06"/>
    <w:rsid w:val="00844032"/>
    <w:rsid w:val="00845061"/>
    <w:rsid w:val="008455C9"/>
    <w:rsid w:val="008456F4"/>
    <w:rsid w:val="00847719"/>
    <w:rsid w:val="00847AB6"/>
    <w:rsid w:val="00850183"/>
    <w:rsid w:val="008518C9"/>
    <w:rsid w:val="00852D91"/>
    <w:rsid w:val="00853AB0"/>
    <w:rsid w:val="00854F82"/>
    <w:rsid w:val="008561CC"/>
    <w:rsid w:val="008570C7"/>
    <w:rsid w:val="008576DE"/>
    <w:rsid w:val="00857A3C"/>
    <w:rsid w:val="00860933"/>
    <w:rsid w:val="008616B9"/>
    <w:rsid w:val="00861756"/>
    <w:rsid w:val="00861778"/>
    <w:rsid w:val="0086334C"/>
    <w:rsid w:val="00863424"/>
    <w:rsid w:val="0086372E"/>
    <w:rsid w:val="00864B8D"/>
    <w:rsid w:val="00867E0A"/>
    <w:rsid w:val="00867EA1"/>
    <w:rsid w:val="008707D9"/>
    <w:rsid w:val="00872D45"/>
    <w:rsid w:val="008744B9"/>
    <w:rsid w:val="008766CB"/>
    <w:rsid w:val="00881154"/>
    <w:rsid w:val="0088159C"/>
    <w:rsid w:val="008819A0"/>
    <w:rsid w:val="0088211A"/>
    <w:rsid w:val="00882D9B"/>
    <w:rsid w:val="008839D8"/>
    <w:rsid w:val="00884345"/>
    <w:rsid w:val="00884CFF"/>
    <w:rsid w:val="00884EDC"/>
    <w:rsid w:val="00884F56"/>
    <w:rsid w:val="008854F6"/>
    <w:rsid w:val="00885D8A"/>
    <w:rsid w:val="00886667"/>
    <w:rsid w:val="00886BC4"/>
    <w:rsid w:val="00886E63"/>
    <w:rsid w:val="008921C9"/>
    <w:rsid w:val="008921D2"/>
    <w:rsid w:val="0089222E"/>
    <w:rsid w:val="0089401F"/>
    <w:rsid w:val="00894872"/>
    <w:rsid w:val="00894EB9"/>
    <w:rsid w:val="00895D67"/>
    <w:rsid w:val="00896421"/>
    <w:rsid w:val="008972E4"/>
    <w:rsid w:val="00897F15"/>
    <w:rsid w:val="008A0118"/>
    <w:rsid w:val="008A02F3"/>
    <w:rsid w:val="008A0573"/>
    <w:rsid w:val="008A1081"/>
    <w:rsid w:val="008A1C1D"/>
    <w:rsid w:val="008A3324"/>
    <w:rsid w:val="008A48CA"/>
    <w:rsid w:val="008A50F4"/>
    <w:rsid w:val="008A6315"/>
    <w:rsid w:val="008A6DAD"/>
    <w:rsid w:val="008B116B"/>
    <w:rsid w:val="008B14EE"/>
    <w:rsid w:val="008B2938"/>
    <w:rsid w:val="008B395C"/>
    <w:rsid w:val="008B3DC9"/>
    <w:rsid w:val="008B5343"/>
    <w:rsid w:val="008B5C5A"/>
    <w:rsid w:val="008B604D"/>
    <w:rsid w:val="008B6F79"/>
    <w:rsid w:val="008B6FEE"/>
    <w:rsid w:val="008B7E2C"/>
    <w:rsid w:val="008C0466"/>
    <w:rsid w:val="008C1FFA"/>
    <w:rsid w:val="008C29FC"/>
    <w:rsid w:val="008C37DB"/>
    <w:rsid w:val="008C5773"/>
    <w:rsid w:val="008C63A3"/>
    <w:rsid w:val="008C6D86"/>
    <w:rsid w:val="008D0CA6"/>
    <w:rsid w:val="008D1340"/>
    <w:rsid w:val="008D21EA"/>
    <w:rsid w:val="008D30D2"/>
    <w:rsid w:val="008D3343"/>
    <w:rsid w:val="008D4CD0"/>
    <w:rsid w:val="008D5358"/>
    <w:rsid w:val="008D5542"/>
    <w:rsid w:val="008D62F1"/>
    <w:rsid w:val="008D6637"/>
    <w:rsid w:val="008D74A9"/>
    <w:rsid w:val="008D79CC"/>
    <w:rsid w:val="008E0180"/>
    <w:rsid w:val="008E04BD"/>
    <w:rsid w:val="008E0C3D"/>
    <w:rsid w:val="008E0FAB"/>
    <w:rsid w:val="008E27BD"/>
    <w:rsid w:val="008E35A5"/>
    <w:rsid w:val="008E5A1D"/>
    <w:rsid w:val="008F0B15"/>
    <w:rsid w:val="008F0D29"/>
    <w:rsid w:val="008F0EBB"/>
    <w:rsid w:val="008F1AA6"/>
    <w:rsid w:val="008F1CC9"/>
    <w:rsid w:val="008F2068"/>
    <w:rsid w:val="008F2212"/>
    <w:rsid w:val="008F2B6D"/>
    <w:rsid w:val="008F392E"/>
    <w:rsid w:val="008F480F"/>
    <w:rsid w:val="008F4E0C"/>
    <w:rsid w:val="008F5789"/>
    <w:rsid w:val="008F73C8"/>
    <w:rsid w:val="008F7473"/>
    <w:rsid w:val="008F7E69"/>
    <w:rsid w:val="0090189F"/>
    <w:rsid w:val="00903786"/>
    <w:rsid w:val="00903AB2"/>
    <w:rsid w:val="00904130"/>
    <w:rsid w:val="009046AD"/>
    <w:rsid w:val="00904C61"/>
    <w:rsid w:val="00905F29"/>
    <w:rsid w:val="0090719E"/>
    <w:rsid w:val="009109AA"/>
    <w:rsid w:val="0091128D"/>
    <w:rsid w:val="009115C0"/>
    <w:rsid w:val="009115C6"/>
    <w:rsid w:val="009126C4"/>
    <w:rsid w:val="0091311F"/>
    <w:rsid w:val="0091422E"/>
    <w:rsid w:val="00914C15"/>
    <w:rsid w:val="0091705D"/>
    <w:rsid w:val="00917679"/>
    <w:rsid w:val="00920717"/>
    <w:rsid w:val="00921736"/>
    <w:rsid w:val="00922175"/>
    <w:rsid w:val="00925565"/>
    <w:rsid w:val="00925FFE"/>
    <w:rsid w:val="00926743"/>
    <w:rsid w:val="0092684F"/>
    <w:rsid w:val="00926879"/>
    <w:rsid w:val="00926CF6"/>
    <w:rsid w:val="00926D22"/>
    <w:rsid w:val="009328E7"/>
    <w:rsid w:val="00932E10"/>
    <w:rsid w:val="00933B03"/>
    <w:rsid w:val="00933C8C"/>
    <w:rsid w:val="00935486"/>
    <w:rsid w:val="00935FF6"/>
    <w:rsid w:val="009367F6"/>
    <w:rsid w:val="00936C71"/>
    <w:rsid w:val="0093741D"/>
    <w:rsid w:val="0094244B"/>
    <w:rsid w:val="00942CB3"/>
    <w:rsid w:val="00942E7E"/>
    <w:rsid w:val="00943C27"/>
    <w:rsid w:val="00944174"/>
    <w:rsid w:val="00944AEF"/>
    <w:rsid w:val="00944B5D"/>
    <w:rsid w:val="009461DA"/>
    <w:rsid w:val="0094620D"/>
    <w:rsid w:val="00946BD0"/>
    <w:rsid w:val="00950A0D"/>
    <w:rsid w:val="00950E16"/>
    <w:rsid w:val="00950F6A"/>
    <w:rsid w:val="00951652"/>
    <w:rsid w:val="00951CE7"/>
    <w:rsid w:val="00952F2F"/>
    <w:rsid w:val="00953B57"/>
    <w:rsid w:val="00953C23"/>
    <w:rsid w:val="00955509"/>
    <w:rsid w:val="009566A6"/>
    <w:rsid w:val="0095725F"/>
    <w:rsid w:val="00957CB4"/>
    <w:rsid w:val="00960ACB"/>
    <w:rsid w:val="00961CED"/>
    <w:rsid w:val="00961F6B"/>
    <w:rsid w:val="00961FCC"/>
    <w:rsid w:val="009624FB"/>
    <w:rsid w:val="00965C4B"/>
    <w:rsid w:val="0096656A"/>
    <w:rsid w:val="009668F8"/>
    <w:rsid w:val="00970E77"/>
    <w:rsid w:val="00971BC1"/>
    <w:rsid w:val="00972155"/>
    <w:rsid w:val="00972A4C"/>
    <w:rsid w:val="00972F03"/>
    <w:rsid w:val="009748E5"/>
    <w:rsid w:val="009757BB"/>
    <w:rsid w:val="00975DF2"/>
    <w:rsid w:val="00976ABC"/>
    <w:rsid w:val="00980056"/>
    <w:rsid w:val="0098151F"/>
    <w:rsid w:val="0098166B"/>
    <w:rsid w:val="00982AC4"/>
    <w:rsid w:val="009843A0"/>
    <w:rsid w:val="009843AF"/>
    <w:rsid w:val="009848F0"/>
    <w:rsid w:val="009851CE"/>
    <w:rsid w:val="0098695C"/>
    <w:rsid w:val="00986A46"/>
    <w:rsid w:val="00986B50"/>
    <w:rsid w:val="009906A6"/>
    <w:rsid w:val="00992ADC"/>
    <w:rsid w:val="00996B13"/>
    <w:rsid w:val="009973CE"/>
    <w:rsid w:val="009A0BF2"/>
    <w:rsid w:val="009A0C2C"/>
    <w:rsid w:val="009A1D40"/>
    <w:rsid w:val="009A265A"/>
    <w:rsid w:val="009A303B"/>
    <w:rsid w:val="009A3F88"/>
    <w:rsid w:val="009A6D32"/>
    <w:rsid w:val="009A703D"/>
    <w:rsid w:val="009A71C4"/>
    <w:rsid w:val="009B06AB"/>
    <w:rsid w:val="009B0EAF"/>
    <w:rsid w:val="009B15EC"/>
    <w:rsid w:val="009B1781"/>
    <w:rsid w:val="009B202C"/>
    <w:rsid w:val="009B24AC"/>
    <w:rsid w:val="009B2546"/>
    <w:rsid w:val="009B33B1"/>
    <w:rsid w:val="009B3E84"/>
    <w:rsid w:val="009B3F21"/>
    <w:rsid w:val="009B4221"/>
    <w:rsid w:val="009B464D"/>
    <w:rsid w:val="009B568A"/>
    <w:rsid w:val="009C1E3F"/>
    <w:rsid w:val="009C1F90"/>
    <w:rsid w:val="009C29CF"/>
    <w:rsid w:val="009C3232"/>
    <w:rsid w:val="009C3E42"/>
    <w:rsid w:val="009C66A3"/>
    <w:rsid w:val="009C736A"/>
    <w:rsid w:val="009C7CFB"/>
    <w:rsid w:val="009D0E2A"/>
    <w:rsid w:val="009D192C"/>
    <w:rsid w:val="009D3D99"/>
    <w:rsid w:val="009D616A"/>
    <w:rsid w:val="009D78A2"/>
    <w:rsid w:val="009D79EB"/>
    <w:rsid w:val="009E1AE8"/>
    <w:rsid w:val="009E1C2B"/>
    <w:rsid w:val="009E2B53"/>
    <w:rsid w:val="009E48E7"/>
    <w:rsid w:val="009E5756"/>
    <w:rsid w:val="009E6061"/>
    <w:rsid w:val="009F08C4"/>
    <w:rsid w:val="009F090D"/>
    <w:rsid w:val="009F1183"/>
    <w:rsid w:val="009F1204"/>
    <w:rsid w:val="009F2391"/>
    <w:rsid w:val="009F2BA6"/>
    <w:rsid w:val="009F653E"/>
    <w:rsid w:val="00A00083"/>
    <w:rsid w:val="00A00FC4"/>
    <w:rsid w:val="00A01086"/>
    <w:rsid w:val="00A014FF"/>
    <w:rsid w:val="00A01CB1"/>
    <w:rsid w:val="00A04245"/>
    <w:rsid w:val="00A04268"/>
    <w:rsid w:val="00A04DEA"/>
    <w:rsid w:val="00A05E57"/>
    <w:rsid w:val="00A07F81"/>
    <w:rsid w:val="00A1120D"/>
    <w:rsid w:val="00A12224"/>
    <w:rsid w:val="00A128FC"/>
    <w:rsid w:val="00A132AD"/>
    <w:rsid w:val="00A13436"/>
    <w:rsid w:val="00A13449"/>
    <w:rsid w:val="00A13CB3"/>
    <w:rsid w:val="00A13F0D"/>
    <w:rsid w:val="00A150D2"/>
    <w:rsid w:val="00A157A7"/>
    <w:rsid w:val="00A15DB7"/>
    <w:rsid w:val="00A15F6A"/>
    <w:rsid w:val="00A173C3"/>
    <w:rsid w:val="00A17503"/>
    <w:rsid w:val="00A215B3"/>
    <w:rsid w:val="00A23395"/>
    <w:rsid w:val="00A2345B"/>
    <w:rsid w:val="00A2493A"/>
    <w:rsid w:val="00A2496A"/>
    <w:rsid w:val="00A24B5B"/>
    <w:rsid w:val="00A24D20"/>
    <w:rsid w:val="00A2554F"/>
    <w:rsid w:val="00A25D4C"/>
    <w:rsid w:val="00A27C5A"/>
    <w:rsid w:val="00A300F1"/>
    <w:rsid w:val="00A30D35"/>
    <w:rsid w:val="00A31745"/>
    <w:rsid w:val="00A31B12"/>
    <w:rsid w:val="00A31B3F"/>
    <w:rsid w:val="00A32C4E"/>
    <w:rsid w:val="00A3452B"/>
    <w:rsid w:val="00A35C3F"/>
    <w:rsid w:val="00A37852"/>
    <w:rsid w:val="00A40DAA"/>
    <w:rsid w:val="00A40FB6"/>
    <w:rsid w:val="00A414F7"/>
    <w:rsid w:val="00A459B3"/>
    <w:rsid w:val="00A45F8C"/>
    <w:rsid w:val="00A46A9A"/>
    <w:rsid w:val="00A50111"/>
    <w:rsid w:val="00A52C22"/>
    <w:rsid w:val="00A53B8E"/>
    <w:rsid w:val="00A53EBD"/>
    <w:rsid w:val="00A54440"/>
    <w:rsid w:val="00A5478A"/>
    <w:rsid w:val="00A553C2"/>
    <w:rsid w:val="00A560DA"/>
    <w:rsid w:val="00A56466"/>
    <w:rsid w:val="00A56A4F"/>
    <w:rsid w:val="00A60022"/>
    <w:rsid w:val="00A602F7"/>
    <w:rsid w:val="00A60994"/>
    <w:rsid w:val="00A60AFF"/>
    <w:rsid w:val="00A6148B"/>
    <w:rsid w:val="00A61FBC"/>
    <w:rsid w:val="00A6237F"/>
    <w:rsid w:val="00A630EA"/>
    <w:rsid w:val="00A650E7"/>
    <w:rsid w:val="00A6514E"/>
    <w:rsid w:val="00A671E0"/>
    <w:rsid w:val="00A67478"/>
    <w:rsid w:val="00A7130A"/>
    <w:rsid w:val="00A71821"/>
    <w:rsid w:val="00A72025"/>
    <w:rsid w:val="00A726AD"/>
    <w:rsid w:val="00A737D9"/>
    <w:rsid w:val="00A740C7"/>
    <w:rsid w:val="00A755BD"/>
    <w:rsid w:val="00A7626B"/>
    <w:rsid w:val="00A819F0"/>
    <w:rsid w:val="00A82423"/>
    <w:rsid w:val="00A82F48"/>
    <w:rsid w:val="00A83805"/>
    <w:rsid w:val="00A8449C"/>
    <w:rsid w:val="00A8482A"/>
    <w:rsid w:val="00A84C3C"/>
    <w:rsid w:val="00A84D32"/>
    <w:rsid w:val="00A86763"/>
    <w:rsid w:val="00A87484"/>
    <w:rsid w:val="00A87F4B"/>
    <w:rsid w:val="00A909A3"/>
    <w:rsid w:val="00A90EEC"/>
    <w:rsid w:val="00A910D5"/>
    <w:rsid w:val="00A91BD2"/>
    <w:rsid w:val="00A9260C"/>
    <w:rsid w:val="00A932FC"/>
    <w:rsid w:val="00A940BE"/>
    <w:rsid w:val="00A942DA"/>
    <w:rsid w:val="00A9481F"/>
    <w:rsid w:val="00A96316"/>
    <w:rsid w:val="00A9658A"/>
    <w:rsid w:val="00A9694B"/>
    <w:rsid w:val="00A970ED"/>
    <w:rsid w:val="00A971B8"/>
    <w:rsid w:val="00AA026C"/>
    <w:rsid w:val="00AA0BE0"/>
    <w:rsid w:val="00AA0F0D"/>
    <w:rsid w:val="00AA148E"/>
    <w:rsid w:val="00AA16D8"/>
    <w:rsid w:val="00AA1D1B"/>
    <w:rsid w:val="00AA1D3E"/>
    <w:rsid w:val="00AA349C"/>
    <w:rsid w:val="00AA553F"/>
    <w:rsid w:val="00AA707B"/>
    <w:rsid w:val="00AA714F"/>
    <w:rsid w:val="00AA7C50"/>
    <w:rsid w:val="00AA7CA5"/>
    <w:rsid w:val="00AA7CFC"/>
    <w:rsid w:val="00AB0C0F"/>
    <w:rsid w:val="00AB3D33"/>
    <w:rsid w:val="00AB784F"/>
    <w:rsid w:val="00AB7C2E"/>
    <w:rsid w:val="00AC029A"/>
    <w:rsid w:val="00AC0561"/>
    <w:rsid w:val="00AC097F"/>
    <w:rsid w:val="00AC19AA"/>
    <w:rsid w:val="00AC1B27"/>
    <w:rsid w:val="00AC2655"/>
    <w:rsid w:val="00AC3A00"/>
    <w:rsid w:val="00AC4B3D"/>
    <w:rsid w:val="00AC4C62"/>
    <w:rsid w:val="00AC5620"/>
    <w:rsid w:val="00AC60D4"/>
    <w:rsid w:val="00AC66E2"/>
    <w:rsid w:val="00AC7855"/>
    <w:rsid w:val="00AD104C"/>
    <w:rsid w:val="00AD2949"/>
    <w:rsid w:val="00AD42AB"/>
    <w:rsid w:val="00AD6C5C"/>
    <w:rsid w:val="00AD6E8E"/>
    <w:rsid w:val="00AD7B5D"/>
    <w:rsid w:val="00AD7E7D"/>
    <w:rsid w:val="00AE030E"/>
    <w:rsid w:val="00AE0471"/>
    <w:rsid w:val="00AE27ED"/>
    <w:rsid w:val="00AE37E0"/>
    <w:rsid w:val="00AE39EE"/>
    <w:rsid w:val="00AE53E5"/>
    <w:rsid w:val="00AE6E20"/>
    <w:rsid w:val="00AE755C"/>
    <w:rsid w:val="00AE7DB3"/>
    <w:rsid w:val="00AF0E20"/>
    <w:rsid w:val="00AF15A1"/>
    <w:rsid w:val="00AF214C"/>
    <w:rsid w:val="00AF4622"/>
    <w:rsid w:val="00AF64BB"/>
    <w:rsid w:val="00AF654E"/>
    <w:rsid w:val="00AF66A2"/>
    <w:rsid w:val="00B00C4E"/>
    <w:rsid w:val="00B01BA8"/>
    <w:rsid w:val="00B02700"/>
    <w:rsid w:val="00B02E44"/>
    <w:rsid w:val="00B03ADE"/>
    <w:rsid w:val="00B040E1"/>
    <w:rsid w:val="00B04B09"/>
    <w:rsid w:val="00B060C9"/>
    <w:rsid w:val="00B07597"/>
    <w:rsid w:val="00B0766F"/>
    <w:rsid w:val="00B0789D"/>
    <w:rsid w:val="00B07A61"/>
    <w:rsid w:val="00B07F7C"/>
    <w:rsid w:val="00B11010"/>
    <w:rsid w:val="00B11972"/>
    <w:rsid w:val="00B11AC3"/>
    <w:rsid w:val="00B129C3"/>
    <w:rsid w:val="00B1463F"/>
    <w:rsid w:val="00B15B56"/>
    <w:rsid w:val="00B15D60"/>
    <w:rsid w:val="00B162EC"/>
    <w:rsid w:val="00B16FC7"/>
    <w:rsid w:val="00B177CA"/>
    <w:rsid w:val="00B17B09"/>
    <w:rsid w:val="00B21F34"/>
    <w:rsid w:val="00B2339F"/>
    <w:rsid w:val="00B24C1C"/>
    <w:rsid w:val="00B25624"/>
    <w:rsid w:val="00B26D98"/>
    <w:rsid w:val="00B272F9"/>
    <w:rsid w:val="00B27897"/>
    <w:rsid w:val="00B3037F"/>
    <w:rsid w:val="00B32830"/>
    <w:rsid w:val="00B34942"/>
    <w:rsid w:val="00B359D7"/>
    <w:rsid w:val="00B36990"/>
    <w:rsid w:val="00B37ECC"/>
    <w:rsid w:val="00B42FAF"/>
    <w:rsid w:val="00B43B12"/>
    <w:rsid w:val="00B45609"/>
    <w:rsid w:val="00B46139"/>
    <w:rsid w:val="00B46C74"/>
    <w:rsid w:val="00B50FEA"/>
    <w:rsid w:val="00B51175"/>
    <w:rsid w:val="00B5397C"/>
    <w:rsid w:val="00B53A17"/>
    <w:rsid w:val="00B53F3D"/>
    <w:rsid w:val="00B545F2"/>
    <w:rsid w:val="00B547F1"/>
    <w:rsid w:val="00B5493D"/>
    <w:rsid w:val="00B54FA9"/>
    <w:rsid w:val="00B57B0B"/>
    <w:rsid w:val="00B60112"/>
    <w:rsid w:val="00B64308"/>
    <w:rsid w:val="00B64F6C"/>
    <w:rsid w:val="00B664CC"/>
    <w:rsid w:val="00B66595"/>
    <w:rsid w:val="00B66B71"/>
    <w:rsid w:val="00B71F74"/>
    <w:rsid w:val="00B735E8"/>
    <w:rsid w:val="00B73954"/>
    <w:rsid w:val="00B73AC3"/>
    <w:rsid w:val="00B73BFE"/>
    <w:rsid w:val="00B73C23"/>
    <w:rsid w:val="00B762D6"/>
    <w:rsid w:val="00B76CFE"/>
    <w:rsid w:val="00B771FF"/>
    <w:rsid w:val="00B773F1"/>
    <w:rsid w:val="00B8039D"/>
    <w:rsid w:val="00B806FE"/>
    <w:rsid w:val="00B81212"/>
    <w:rsid w:val="00B81C97"/>
    <w:rsid w:val="00B82322"/>
    <w:rsid w:val="00B82C45"/>
    <w:rsid w:val="00B83781"/>
    <w:rsid w:val="00B85FDC"/>
    <w:rsid w:val="00B86681"/>
    <w:rsid w:val="00B86775"/>
    <w:rsid w:val="00B91250"/>
    <w:rsid w:val="00B91748"/>
    <w:rsid w:val="00B91B3B"/>
    <w:rsid w:val="00B94262"/>
    <w:rsid w:val="00B94EF9"/>
    <w:rsid w:val="00B96032"/>
    <w:rsid w:val="00B979A3"/>
    <w:rsid w:val="00BA054F"/>
    <w:rsid w:val="00BA123B"/>
    <w:rsid w:val="00BA2DCF"/>
    <w:rsid w:val="00BA3721"/>
    <w:rsid w:val="00BA4AEC"/>
    <w:rsid w:val="00BA4CB5"/>
    <w:rsid w:val="00BA69E6"/>
    <w:rsid w:val="00BA7802"/>
    <w:rsid w:val="00BB059B"/>
    <w:rsid w:val="00BB0952"/>
    <w:rsid w:val="00BB46A6"/>
    <w:rsid w:val="00BB4B21"/>
    <w:rsid w:val="00BB4DA8"/>
    <w:rsid w:val="00BB504E"/>
    <w:rsid w:val="00BB6066"/>
    <w:rsid w:val="00BB607D"/>
    <w:rsid w:val="00BC0570"/>
    <w:rsid w:val="00BC09B3"/>
    <w:rsid w:val="00BC108D"/>
    <w:rsid w:val="00BC2C8F"/>
    <w:rsid w:val="00BC348B"/>
    <w:rsid w:val="00BC6941"/>
    <w:rsid w:val="00BC7C44"/>
    <w:rsid w:val="00BD0B91"/>
    <w:rsid w:val="00BD3C26"/>
    <w:rsid w:val="00BD4B6A"/>
    <w:rsid w:val="00BD627F"/>
    <w:rsid w:val="00BD76FF"/>
    <w:rsid w:val="00BD7EA0"/>
    <w:rsid w:val="00BD7EAB"/>
    <w:rsid w:val="00BE049C"/>
    <w:rsid w:val="00BE09B9"/>
    <w:rsid w:val="00BE1250"/>
    <w:rsid w:val="00BE164B"/>
    <w:rsid w:val="00BE18D8"/>
    <w:rsid w:val="00BE1BCB"/>
    <w:rsid w:val="00BE1E66"/>
    <w:rsid w:val="00BE2210"/>
    <w:rsid w:val="00BE2CB3"/>
    <w:rsid w:val="00BE4D7B"/>
    <w:rsid w:val="00BE5AC7"/>
    <w:rsid w:val="00BE655A"/>
    <w:rsid w:val="00BF1D4D"/>
    <w:rsid w:val="00BF1F7F"/>
    <w:rsid w:val="00BF27B4"/>
    <w:rsid w:val="00BF2A96"/>
    <w:rsid w:val="00BF3C23"/>
    <w:rsid w:val="00BF3E58"/>
    <w:rsid w:val="00BF439F"/>
    <w:rsid w:val="00BF4A10"/>
    <w:rsid w:val="00BF4A8E"/>
    <w:rsid w:val="00BF5385"/>
    <w:rsid w:val="00BF6788"/>
    <w:rsid w:val="00BF73E4"/>
    <w:rsid w:val="00BF75D8"/>
    <w:rsid w:val="00BF7FA2"/>
    <w:rsid w:val="00C0048B"/>
    <w:rsid w:val="00C011F5"/>
    <w:rsid w:val="00C0233C"/>
    <w:rsid w:val="00C02BD0"/>
    <w:rsid w:val="00C03D1A"/>
    <w:rsid w:val="00C044CF"/>
    <w:rsid w:val="00C045BF"/>
    <w:rsid w:val="00C059D2"/>
    <w:rsid w:val="00C05B10"/>
    <w:rsid w:val="00C0628D"/>
    <w:rsid w:val="00C07D81"/>
    <w:rsid w:val="00C1010A"/>
    <w:rsid w:val="00C10415"/>
    <w:rsid w:val="00C10E9C"/>
    <w:rsid w:val="00C11407"/>
    <w:rsid w:val="00C129DE"/>
    <w:rsid w:val="00C140B1"/>
    <w:rsid w:val="00C14762"/>
    <w:rsid w:val="00C14855"/>
    <w:rsid w:val="00C14DF6"/>
    <w:rsid w:val="00C17C1D"/>
    <w:rsid w:val="00C20B60"/>
    <w:rsid w:val="00C224FC"/>
    <w:rsid w:val="00C23C8C"/>
    <w:rsid w:val="00C23E17"/>
    <w:rsid w:val="00C23E88"/>
    <w:rsid w:val="00C24BA4"/>
    <w:rsid w:val="00C26709"/>
    <w:rsid w:val="00C26FA2"/>
    <w:rsid w:val="00C271D2"/>
    <w:rsid w:val="00C3042D"/>
    <w:rsid w:val="00C31783"/>
    <w:rsid w:val="00C31D40"/>
    <w:rsid w:val="00C326AA"/>
    <w:rsid w:val="00C3526F"/>
    <w:rsid w:val="00C356B1"/>
    <w:rsid w:val="00C362B7"/>
    <w:rsid w:val="00C3693F"/>
    <w:rsid w:val="00C36D91"/>
    <w:rsid w:val="00C379D2"/>
    <w:rsid w:val="00C37A6A"/>
    <w:rsid w:val="00C42410"/>
    <w:rsid w:val="00C424A1"/>
    <w:rsid w:val="00C436B8"/>
    <w:rsid w:val="00C443D7"/>
    <w:rsid w:val="00C4491D"/>
    <w:rsid w:val="00C457B6"/>
    <w:rsid w:val="00C46F49"/>
    <w:rsid w:val="00C51736"/>
    <w:rsid w:val="00C524F8"/>
    <w:rsid w:val="00C5389E"/>
    <w:rsid w:val="00C539A2"/>
    <w:rsid w:val="00C53D81"/>
    <w:rsid w:val="00C53EDC"/>
    <w:rsid w:val="00C5554B"/>
    <w:rsid w:val="00C607F8"/>
    <w:rsid w:val="00C609EE"/>
    <w:rsid w:val="00C61551"/>
    <w:rsid w:val="00C61BFE"/>
    <w:rsid w:val="00C620FD"/>
    <w:rsid w:val="00C624A4"/>
    <w:rsid w:val="00C636B1"/>
    <w:rsid w:val="00C63713"/>
    <w:rsid w:val="00C63910"/>
    <w:rsid w:val="00C639E4"/>
    <w:rsid w:val="00C66620"/>
    <w:rsid w:val="00C71CED"/>
    <w:rsid w:val="00C72613"/>
    <w:rsid w:val="00C73854"/>
    <w:rsid w:val="00C73D0B"/>
    <w:rsid w:val="00C73E3A"/>
    <w:rsid w:val="00C744FE"/>
    <w:rsid w:val="00C75558"/>
    <w:rsid w:val="00C778C6"/>
    <w:rsid w:val="00C77B0C"/>
    <w:rsid w:val="00C80C62"/>
    <w:rsid w:val="00C82675"/>
    <w:rsid w:val="00C82A8A"/>
    <w:rsid w:val="00C83CA9"/>
    <w:rsid w:val="00C83F0B"/>
    <w:rsid w:val="00C840EA"/>
    <w:rsid w:val="00C84187"/>
    <w:rsid w:val="00C85224"/>
    <w:rsid w:val="00C85CCD"/>
    <w:rsid w:val="00C8634C"/>
    <w:rsid w:val="00C8660F"/>
    <w:rsid w:val="00C870AF"/>
    <w:rsid w:val="00C901E8"/>
    <w:rsid w:val="00C91241"/>
    <w:rsid w:val="00C91281"/>
    <w:rsid w:val="00C91C20"/>
    <w:rsid w:val="00C920FD"/>
    <w:rsid w:val="00C94AB1"/>
    <w:rsid w:val="00C9502E"/>
    <w:rsid w:val="00C95E70"/>
    <w:rsid w:val="00CA025A"/>
    <w:rsid w:val="00CA168B"/>
    <w:rsid w:val="00CA1E00"/>
    <w:rsid w:val="00CA358F"/>
    <w:rsid w:val="00CA3F36"/>
    <w:rsid w:val="00CA4694"/>
    <w:rsid w:val="00CA4712"/>
    <w:rsid w:val="00CA602B"/>
    <w:rsid w:val="00CA7AB8"/>
    <w:rsid w:val="00CB032B"/>
    <w:rsid w:val="00CB04F4"/>
    <w:rsid w:val="00CB0554"/>
    <w:rsid w:val="00CB3152"/>
    <w:rsid w:val="00CB361E"/>
    <w:rsid w:val="00CB49D7"/>
    <w:rsid w:val="00CB52BA"/>
    <w:rsid w:val="00CB639A"/>
    <w:rsid w:val="00CB6F0F"/>
    <w:rsid w:val="00CC0D3E"/>
    <w:rsid w:val="00CC1136"/>
    <w:rsid w:val="00CC1AC2"/>
    <w:rsid w:val="00CC1EB3"/>
    <w:rsid w:val="00CC5606"/>
    <w:rsid w:val="00CC5AFF"/>
    <w:rsid w:val="00CC5C98"/>
    <w:rsid w:val="00CC6089"/>
    <w:rsid w:val="00CC649C"/>
    <w:rsid w:val="00CC6BF5"/>
    <w:rsid w:val="00CC743D"/>
    <w:rsid w:val="00CC7FAB"/>
    <w:rsid w:val="00CD02A5"/>
    <w:rsid w:val="00CD0787"/>
    <w:rsid w:val="00CD0BB5"/>
    <w:rsid w:val="00CD2116"/>
    <w:rsid w:val="00CD3DC1"/>
    <w:rsid w:val="00CD41B7"/>
    <w:rsid w:val="00CD4F6E"/>
    <w:rsid w:val="00CD6008"/>
    <w:rsid w:val="00CD6635"/>
    <w:rsid w:val="00CD68FA"/>
    <w:rsid w:val="00CD751C"/>
    <w:rsid w:val="00CD75B9"/>
    <w:rsid w:val="00CD7F0B"/>
    <w:rsid w:val="00CE0146"/>
    <w:rsid w:val="00CE0B5A"/>
    <w:rsid w:val="00CE1BA6"/>
    <w:rsid w:val="00CE44B6"/>
    <w:rsid w:val="00CE55F1"/>
    <w:rsid w:val="00CF0053"/>
    <w:rsid w:val="00CF0144"/>
    <w:rsid w:val="00CF05BC"/>
    <w:rsid w:val="00CF11A5"/>
    <w:rsid w:val="00CF1EA3"/>
    <w:rsid w:val="00CF42FB"/>
    <w:rsid w:val="00CF5A2D"/>
    <w:rsid w:val="00CF6946"/>
    <w:rsid w:val="00CF78F5"/>
    <w:rsid w:val="00CF79F6"/>
    <w:rsid w:val="00CF7DB4"/>
    <w:rsid w:val="00D00C56"/>
    <w:rsid w:val="00D019E8"/>
    <w:rsid w:val="00D01C5E"/>
    <w:rsid w:val="00D02ABC"/>
    <w:rsid w:val="00D02EAA"/>
    <w:rsid w:val="00D03152"/>
    <w:rsid w:val="00D031A7"/>
    <w:rsid w:val="00D0368B"/>
    <w:rsid w:val="00D044DC"/>
    <w:rsid w:val="00D04A66"/>
    <w:rsid w:val="00D05A02"/>
    <w:rsid w:val="00D06914"/>
    <w:rsid w:val="00D06CFA"/>
    <w:rsid w:val="00D071FF"/>
    <w:rsid w:val="00D0725D"/>
    <w:rsid w:val="00D10EF6"/>
    <w:rsid w:val="00D11F38"/>
    <w:rsid w:val="00D11F49"/>
    <w:rsid w:val="00D12AD1"/>
    <w:rsid w:val="00D13250"/>
    <w:rsid w:val="00D171AD"/>
    <w:rsid w:val="00D17467"/>
    <w:rsid w:val="00D21170"/>
    <w:rsid w:val="00D214CF"/>
    <w:rsid w:val="00D2150F"/>
    <w:rsid w:val="00D215DF"/>
    <w:rsid w:val="00D21844"/>
    <w:rsid w:val="00D22A4C"/>
    <w:rsid w:val="00D23B95"/>
    <w:rsid w:val="00D24D28"/>
    <w:rsid w:val="00D24F6B"/>
    <w:rsid w:val="00D251DF"/>
    <w:rsid w:val="00D2777F"/>
    <w:rsid w:val="00D314AF"/>
    <w:rsid w:val="00D32774"/>
    <w:rsid w:val="00D32E34"/>
    <w:rsid w:val="00D3346F"/>
    <w:rsid w:val="00D33813"/>
    <w:rsid w:val="00D33A01"/>
    <w:rsid w:val="00D33E3B"/>
    <w:rsid w:val="00D34C43"/>
    <w:rsid w:val="00D3500D"/>
    <w:rsid w:val="00D358A0"/>
    <w:rsid w:val="00D37D1A"/>
    <w:rsid w:val="00D4034C"/>
    <w:rsid w:val="00D40B85"/>
    <w:rsid w:val="00D44519"/>
    <w:rsid w:val="00D460A8"/>
    <w:rsid w:val="00D46132"/>
    <w:rsid w:val="00D46AD9"/>
    <w:rsid w:val="00D46EDC"/>
    <w:rsid w:val="00D515D1"/>
    <w:rsid w:val="00D524C1"/>
    <w:rsid w:val="00D535AC"/>
    <w:rsid w:val="00D536D6"/>
    <w:rsid w:val="00D54F86"/>
    <w:rsid w:val="00D555C7"/>
    <w:rsid w:val="00D56210"/>
    <w:rsid w:val="00D563C8"/>
    <w:rsid w:val="00D566F4"/>
    <w:rsid w:val="00D60855"/>
    <w:rsid w:val="00D60907"/>
    <w:rsid w:val="00D61791"/>
    <w:rsid w:val="00D621F5"/>
    <w:rsid w:val="00D62EE8"/>
    <w:rsid w:val="00D64383"/>
    <w:rsid w:val="00D6506C"/>
    <w:rsid w:val="00D665B0"/>
    <w:rsid w:val="00D665E8"/>
    <w:rsid w:val="00D676D0"/>
    <w:rsid w:val="00D70344"/>
    <w:rsid w:val="00D729E1"/>
    <w:rsid w:val="00D73305"/>
    <w:rsid w:val="00D7585A"/>
    <w:rsid w:val="00D76026"/>
    <w:rsid w:val="00D81F86"/>
    <w:rsid w:val="00D82EB5"/>
    <w:rsid w:val="00D8373F"/>
    <w:rsid w:val="00D84113"/>
    <w:rsid w:val="00D8604C"/>
    <w:rsid w:val="00D87E43"/>
    <w:rsid w:val="00D90142"/>
    <w:rsid w:val="00D90680"/>
    <w:rsid w:val="00D90B1E"/>
    <w:rsid w:val="00D91109"/>
    <w:rsid w:val="00D93109"/>
    <w:rsid w:val="00D94B71"/>
    <w:rsid w:val="00D94E4D"/>
    <w:rsid w:val="00D951A1"/>
    <w:rsid w:val="00D959BD"/>
    <w:rsid w:val="00D96A1A"/>
    <w:rsid w:val="00DA00C6"/>
    <w:rsid w:val="00DA040E"/>
    <w:rsid w:val="00DA137E"/>
    <w:rsid w:val="00DA14B7"/>
    <w:rsid w:val="00DA2913"/>
    <w:rsid w:val="00DA385D"/>
    <w:rsid w:val="00DA5599"/>
    <w:rsid w:val="00DA605F"/>
    <w:rsid w:val="00DA6ACC"/>
    <w:rsid w:val="00DA7BD5"/>
    <w:rsid w:val="00DB11B1"/>
    <w:rsid w:val="00DB30CF"/>
    <w:rsid w:val="00DB44BE"/>
    <w:rsid w:val="00DB4759"/>
    <w:rsid w:val="00DB6BD1"/>
    <w:rsid w:val="00DC075C"/>
    <w:rsid w:val="00DC1415"/>
    <w:rsid w:val="00DC262C"/>
    <w:rsid w:val="00DC4638"/>
    <w:rsid w:val="00DC4964"/>
    <w:rsid w:val="00DC5CA9"/>
    <w:rsid w:val="00DC5D3F"/>
    <w:rsid w:val="00DC5FC7"/>
    <w:rsid w:val="00DC6CD2"/>
    <w:rsid w:val="00DC6FBB"/>
    <w:rsid w:val="00DC7173"/>
    <w:rsid w:val="00DC71D4"/>
    <w:rsid w:val="00DC77D0"/>
    <w:rsid w:val="00DC7A23"/>
    <w:rsid w:val="00DD062C"/>
    <w:rsid w:val="00DD125E"/>
    <w:rsid w:val="00DD1D8B"/>
    <w:rsid w:val="00DD24B4"/>
    <w:rsid w:val="00DD3270"/>
    <w:rsid w:val="00DD3940"/>
    <w:rsid w:val="00DD3C18"/>
    <w:rsid w:val="00DD56A9"/>
    <w:rsid w:val="00DD5D38"/>
    <w:rsid w:val="00DD5D7B"/>
    <w:rsid w:val="00DD5DC5"/>
    <w:rsid w:val="00DD5DCC"/>
    <w:rsid w:val="00DD5F75"/>
    <w:rsid w:val="00DE05FE"/>
    <w:rsid w:val="00DE3917"/>
    <w:rsid w:val="00DE420C"/>
    <w:rsid w:val="00DE46CC"/>
    <w:rsid w:val="00DE4ACE"/>
    <w:rsid w:val="00DE56BC"/>
    <w:rsid w:val="00DE573E"/>
    <w:rsid w:val="00DE5EE8"/>
    <w:rsid w:val="00DE74D7"/>
    <w:rsid w:val="00DE74EC"/>
    <w:rsid w:val="00DE7B17"/>
    <w:rsid w:val="00DF0B01"/>
    <w:rsid w:val="00DF1E05"/>
    <w:rsid w:val="00DF323D"/>
    <w:rsid w:val="00DF3AF3"/>
    <w:rsid w:val="00DF48D2"/>
    <w:rsid w:val="00DF56B6"/>
    <w:rsid w:val="00DF5A46"/>
    <w:rsid w:val="00DF6017"/>
    <w:rsid w:val="00DF60BA"/>
    <w:rsid w:val="00DF63B0"/>
    <w:rsid w:val="00DF7AD2"/>
    <w:rsid w:val="00E0175F"/>
    <w:rsid w:val="00E04E2E"/>
    <w:rsid w:val="00E10B5B"/>
    <w:rsid w:val="00E11105"/>
    <w:rsid w:val="00E111AE"/>
    <w:rsid w:val="00E1134E"/>
    <w:rsid w:val="00E14BA1"/>
    <w:rsid w:val="00E14DB0"/>
    <w:rsid w:val="00E15B7F"/>
    <w:rsid w:val="00E16939"/>
    <w:rsid w:val="00E16989"/>
    <w:rsid w:val="00E16E9E"/>
    <w:rsid w:val="00E174F9"/>
    <w:rsid w:val="00E1766A"/>
    <w:rsid w:val="00E17760"/>
    <w:rsid w:val="00E2004B"/>
    <w:rsid w:val="00E22B47"/>
    <w:rsid w:val="00E2348A"/>
    <w:rsid w:val="00E23F47"/>
    <w:rsid w:val="00E267E6"/>
    <w:rsid w:val="00E27F33"/>
    <w:rsid w:val="00E304D9"/>
    <w:rsid w:val="00E30913"/>
    <w:rsid w:val="00E3195F"/>
    <w:rsid w:val="00E31F0E"/>
    <w:rsid w:val="00E327DA"/>
    <w:rsid w:val="00E3436E"/>
    <w:rsid w:val="00E34501"/>
    <w:rsid w:val="00E35B8F"/>
    <w:rsid w:val="00E35BC6"/>
    <w:rsid w:val="00E37307"/>
    <w:rsid w:val="00E40078"/>
    <w:rsid w:val="00E400C1"/>
    <w:rsid w:val="00E410D5"/>
    <w:rsid w:val="00E416D5"/>
    <w:rsid w:val="00E4271E"/>
    <w:rsid w:val="00E428F3"/>
    <w:rsid w:val="00E43E2E"/>
    <w:rsid w:val="00E4461B"/>
    <w:rsid w:val="00E45020"/>
    <w:rsid w:val="00E4520C"/>
    <w:rsid w:val="00E45C16"/>
    <w:rsid w:val="00E47BC3"/>
    <w:rsid w:val="00E51047"/>
    <w:rsid w:val="00E5190F"/>
    <w:rsid w:val="00E520C8"/>
    <w:rsid w:val="00E52840"/>
    <w:rsid w:val="00E53D3A"/>
    <w:rsid w:val="00E543DF"/>
    <w:rsid w:val="00E54531"/>
    <w:rsid w:val="00E55138"/>
    <w:rsid w:val="00E556E1"/>
    <w:rsid w:val="00E557EC"/>
    <w:rsid w:val="00E55869"/>
    <w:rsid w:val="00E56AA9"/>
    <w:rsid w:val="00E57884"/>
    <w:rsid w:val="00E57993"/>
    <w:rsid w:val="00E57F68"/>
    <w:rsid w:val="00E62120"/>
    <w:rsid w:val="00E62196"/>
    <w:rsid w:val="00E62B01"/>
    <w:rsid w:val="00E64506"/>
    <w:rsid w:val="00E64B67"/>
    <w:rsid w:val="00E65D1B"/>
    <w:rsid w:val="00E669CD"/>
    <w:rsid w:val="00E6714D"/>
    <w:rsid w:val="00E70A2C"/>
    <w:rsid w:val="00E71A8C"/>
    <w:rsid w:val="00E71DD5"/>
    <w:rsid w:val="00E74016"/>
    <w:rsid w:val="00E75262"/>
    <w:rsid w:val="00E76714"/>
    <w:rsid w:val="00E77A41"/>
    <w:rsid w:val="00E77B4C"/>
    <w:rsid w:val="00E80584"/>
    <w:rsid w:val="00E80804"/>
    <w:rsid w:val="00E80852"/>
    <w:rsid w:val="00E81A92"/>
    <w:rsid w:val="00E822B7"/>
    <w:rsid w:val="00E83A1D"/>
    <w:rsid w:val="00E84093"/>
    <w:rsid w:val="00E847A7"/>
    <w:rsid w:val="00E84BF4"/>
    <w:rsid w:val="00E84F50"/>
    <w:rsid w:val="00E85958"/>
    <w:rsid w:val="00E85A07"/>
    <w:rsid w:val="00E85A41"/>
    <w:rsid w:val="00E85FF2"/>
    <w:rsid w:val="00E86CBA"/>
    <w:rsid w:val="00E90693"/>
    <w:rsid w:val="00E90E39"/>
    <w:rsid w:val="00E91EAC"/>
    <w:rsid w:val="00E93C25"/>
    <w:rsid w:val="00E960E3"/>
    <w:rsid w:val="00E96ECC"/>
    <w:rsid w:val="00E97BA0"/>
    <w:rsid w:val="00EA0C64"/>
    <w:rsid w:val="00EA1608"/>
    <w:rsid w:val="00EA3CF6"/>
    <w:rsid w:val="00EA523E"/>
    <w:rsid w:val="00EA5940"/>
    <w:rsid w:val="00EA5D8D"/>
    <w:rsid w:val="00EA6A8D"/>
    <w:rsid w:val="00EA6C91"/>
    <w:rsid w:val="00EA7BE8"/>
    <w:rsid w:val="00EA7EF8"/>
    <w:rsid w:val="00EB05D2"/>
    <w:rsid w:val="00EB0B8E"/>
    <w:rsid w:val="00EB0C66"/>
    <w:rsid w:val="00EB1557"/>
    <w:rsid w:val="00EB17FE"/>
    <w:rsid w:val="00EB2FBA"/>
    <w:rsid w:val="00EB3633"/>
    <w:rsid w:val="00EB39AE"/>
    <w:rsid w:val="00EB3F61"/>
    <w:rsid w:val="00EB5E8C"/>
    <w:rsid w:val="00EB5EFE"/>
    <w:rsid w:val="00EB66E2"/>
    <w:rsid w:val="00EC16A5"/>
    <w:rsid w:val="00EC2A56"/>
    <w:rsid w:val="00EC338B"/>
    <w:rsid w:val="00EC3480"/>
    <w:rsid w:val="00EC65FC"/>
    <w:rsid w:val="00ED17F2"/>
    <w:rsid w:val="00ED1858"/>
    <w:rsid w:val="00ED2503"/>
    <w:rsid w:val="00ED2F05"/>
    <w:rsid w:val="00ED3522"/>
    <w:rsid w:val="00ED6094"/>
    <w:rsid w:val="00ED6E4F"/>
    <w:rsid w:val="00ED71D1"/>
    <w:rsid w:val="00ED7933"/>
    <w:rsid w:val="00ED7D6A"/>
    <w:rsid w:val="00ED7DAF"/>
    <w:rsid w:val="00EE2242"/>
    <w:rsid w:val="00EE2C09"/>
    <w:rsid w:val="00EE3764"/>
    <w:rsid w:val="00EE3E78"/>
    <w:rsid w:val="00EE570F"/>
    <w:rsid w:val="00EE5C30"/>
    <w:rsid w:val="00EE5F89"/>
    <w:rsid w:val="00EE65C2"/>
    <w:rsid w:val="00EE67F5"/>
    <w:rsid w:val="00EE72AF"/>
    <w:rsid w:val="00EF012F"/>
    <w:rsid w:val="00EF1B2D"/>
    <w:rsid w:val="00EF1FD6"/>
    <w:rsid w:val="00EF2609"/>
    <w:rsid w:val="00EF63BF"/>
    <w:rsid w:val="00EF682A"/>
    <w:rsid w:val="00EF6EBE"/>
    <w:rsid w:val="00F00C8D"/>
    <w:rsid w:val="00F0196A"/>
    <w:rsid w:val="00F03722"/>
    <w:rsid w:val="00F053A2"/>
    <w:rsid w:val="00F06AE1"/>
    <w:rsid w:val="00F072A3"/>
    <w:rsid w:val="00F07B2D"/>
    <w:rsid w:val="00F11216"/>
    <w:rsid w:val="00F12DF7"/>
    <w:rsid w:val="00F14145"/>
    <w:rsid w:val="00F15299"/>
    <w:rsid w:val="00F1583C"/>
    <w:rsid w:val="00F16B61"/>
    <w:rsid w:val="00F172EE"/>
    <w:rsid w:val="00F200A9"/>
    <w:rsid w:val="00F204D8"/>
    <w:rsid w:val="00F20542"/>
    <w:rsid w:val="00F2104E"/>
    <w:rsid w:val="00F2159D"/>
    <w:rsid w:val="00F227A2"/>
    <w:rsid w:val="00F22FC2"/>
    <w:rsid w:val="00F23769"/>
    <w:rsid w:val="00F23ADE"/>
    <w:rsid w:val="00F244AC"/>
    <w:rsid w:val="00F248B6"/>
    <w:rsid w:val="00F25CF8"/>
    <w:rsid w:val="00F2672B"/>
    <w:rsid w:val="00F27D55"/>
    <w:rsid w:val="00F27DA9"/>
    <w:rsid w:val="00F315F3"/>
    <w:rsid w:val="00F31637"/>
    <w:rsid w:val="00F325C4"/>
    <w:rsid w:val="00F3280B"/>
    <w:rsid w:val="00F32CB5"/>
    <w:rsid w:val="00F33B9F"/>
    <w:rsid w:val="00F33DD2"/>
    <w:rsid w:val="00F3428D"/>
    <w:rsid w:val="00F36327"/>
    <w:rsid w:val="00F36CB0"/>
    <w:rsid w:val="00F41932"/>
    <w:rsid w:val="00F419ED"/>
    <w:rsid w:val="00F4340F"/>
    <w:rsid w:val="00F4458A"/>
    <w:rsid w:val="00F44C22"/>
    <w:rsid w:val="00F44F96"/>
    <w:rsid w:val="00F46645"/>
    <w:rsid w:val="00F46B31"/>
    <w:rsid w:val="00F4789A"/>
    <w:rsid w:val="00F516B3"/>
    <w:rsid w:val="00F51B57"/>
    <w:rsid w:val="00F51C00"/>
    <w:rsid w:val="00F51E36"/>
    <w:rsid w:val="00F51FDE"/>
    <w:rsid w:val="00F52C65"/>
    <w:rsid w:val="00F52FE3"/>
    <w:rsid w:val="00F537A7"/>
    <w:rsid w:val="00F53CAC"/>
    <w:rsid w:val="00F53CF7"/>
    <w:rsid w:val="00F54566"/>
    <w:rsid w:val="00F54E1E"/>
    <w:rsid w:val="00F550C4"/>
    <w:rsid w:val="00F57632"/>
    <w:rsid w:val="00F57AD3"/>
    <w:rsid w:val="00F6061F"/>
    <w:rsid w:val="00F61286"/>
    <w:rsid w:val="00F61364"/>
    <w:rsid w:val="00F614C4"/>
    <w:rsid w:val="00F61E2F"/>
    <w:rsid w:val="00F6210D"/>
    <w:rsid w:val="00F63511"/>
    <w:rsid w:val="00F64776"/>
    <w:rsid w:val="00F647C1"/>
    <w:rsid w:val="00F652D7"/>
    <w:rsid w:val="00F66578"/>
    <w:rsid w:val="00F672CC"/>
    <w:rsid w:val="00F6798B"/>
    <w:rsid w:val="00F7256C"/>
    <w:rsid w:val="00F74748"/>
    <w:rsid w:val="00F74DB3"/>
    <w:rsid w:val="00F75A59"/>
    <w:rsid w:val="00F7650A"/>
    <w:rsid w:val="00F81318"/>
    <w:rsid w:val="00F816C4"/>
    <w:rsid w:val="00F830A9"/>
    <w:rsid w:val="00F83458"/>
    <w:rsid w:val="00F84BC3"/>
    <w:rsid w:val="00F84EAC"/>
    <w:rsid w:val="00F855C7"/>
    <w:rsid w:val="00F86109"/>
    <w:rsid w:val="00F86B66"/>
    <w:rsid w:val="00F937AB"/>
    <w:rsid w:val="00F9437E"/>
    <w:rsid w:val="00F94AFB"/>
    <w:rsid w:val="00F95DDF"/>
    <w:rsid w:val="00F96108"/>
    <w:rsid w:val="00F96DC3"/>
    <w:rsid w:val="00F97D4A"/>
    <w:rsid w:val="00FA1E3B"/>
    <w:rsid w:val="00FA23B1"/>
    <w:rsid w:val="00FA34D5"/>
    <w:rsid w:val="00FA3E63"/>
    <w:rsid w:val="00FA5A65"/>
    <w:rsid w:val="00FA70A7"/>
    <w:rsid w:val="00FB03B3"/>
    <w:rsid w:val="00FB105C"/>
    <w:rsid w:val="00FB1A32"/>
    <w:rsid w:val="00FB2D5D"/>
    <w:rsid w:val="00FB39C7"/>
    <w:rsid w:val="00FB3ACE"/>
    <w:rsid w:val="00FB49DF"/>
    <w:rsid w:val="00FB5337"/>
    <w:rsid w:val="00FB61FE"/>
    <w:rsid w:val="00FB799C"/>
    <w:rsid w:val="00FB7AEB"/>
    <w:rsid w:val="00FC0C1B"/>
    <w:rsid w:val="00FC20BE"/>
    <w:rsid w:val="00FC2874"/>
    <w:rsid w:val="00FC292D"/>
    <w:rsid w:val="00FC2E34"/>
    <w:rsid w:val="00FC3944"/>
    <w:rsid w:val="00FC4612"/>
    <w:rsid w:val="00FC53F4"/>
    <w:rsid w:val="00FC599B"/>
    <w:rsid w:val="00FC5FAE"/>
    <w:rsid w:val="00FC705B"/>
    <w:rsid w:val="00FD06CC"/>
    <w:rsid w:val="00FD06DF"/>
    <w:rsid w:val="00FD0B4D"/>
    <w:rsid w:val="00FD0EFB"/>
    <w:rsid w:val="00FD10A9"/>
    <w:rsid w:val="00FD1567"/>
    <w:rsid w:val="00FD49FC"/>
    <w:rsid w:val="00FD4F76"/>
    <w:rsid w:val="00FE2844"/>
    <w:rsid w:val="00FE316C"/>
    <w:rsid w:val="00FE5642"/>
    <w:rsid w:val="00FE5E97"/>
    <w:rsid w:val="00FE7146"/>
    <w:rsid w:val="00FF06E6"/>
    <w:rsid w:val="00FF2517"/>
    <w:rsid w:val="00FF3B3B"/>
    <w:rsid w:val="00FF4459"/>
    <w:rsid w:val="03FA5DB2"/>
    <w:rsid w:val="0C4A01DF"/>
    <w:rsid w:val="1143A595"/>
    <w:rsid w:val="18B1DE22"/>
    <w:rsid w:val="19AF4A9C"/>
    <w:rsid w:val="2173E1B9"/>
    <w:rsid w:val="2855231E"/>
    <w:rsid w:val="2E476323"/>
    <w:rsid w:val="2E78F991"/>
    <w:rsid w:val="323D4542"/>
    <w:rsid w:val="34E7609F"/>
    <w:rsid w:val="3AC5A230"/>
    <w:rsid w:val="3C641E01"/>
    <w:rsid w:val="43B49010"/>
    <w:rsid w:val="444BAEDA"/>
    <w:rsid w:val="569E89CD"/>
    <w:rsid w:val="5AD6E98F"/>
    <w:rsid w:val="5C024984"/>
    <w:rsid w:val="63867385"/>
    <w:rsid w:val="67A9D6A4"/>
    <w:rsid w:val="6EF76826"/>
    <w:rsid w:val="707142EF"/>
    <w:rsid w:val="765D34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uiPriority w:val="9"/>
    <w:qFormat/>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5"/>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5"/>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C920FD"/>
    <w:pPr>
      <w:numPr>
        <w:numId w:val="3"/>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6F2881"/>
    <w:pPr>
      <w:spacing w:after="0"/>
      <w:ind w:left="284" w:hanging="284"/>
    </w:pPr>
    <w:rPr>
      <w:sz w:val="20"/>
    </w:rPr>
  </w:style>
  <w:style w:type="character" w:customStyle="1" w:styleId="FootnoteTextChar">
    <w:name w:val="Footnote Text Char"/>
    <w:basedOn w:val="DefaultParagraphFont"/>
    <w:link w:val="FootnoteText"/>
    <w:uiPriority w:val="99"/>
    <w:rsid w:val="006F2881"/>
    <w:rPr>
      <w:rFonts w:ascii="Calibri Light" w:eastAsia="Times New Roman" w:hAnsi="Calibri Light"/>
      <w:lang w:eastAsia="en-AU"/>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List Bullet Cab,CAB - List Bullet"/>
    <w:basedOn w:val="Normal"/>
    <w:link w:val="ListParagraphChar"/>
    <w:uiPriority w:val="34"/>
    <w:qFormat/>
    <w:rsid w:val="00EF6EBE"/>
    <w:pPr>
      <w:ind w:left="720"/>
    </w:pPr>
  </w:style>
  <w:style w:type="character" w:customStyle="1" w:styleId="ListParagraphChar">
    <w:name w:val="List Paragraph Char"/>
    <w:aliases w:val="List Bullet Cab Char,CAB - List Bullet Char"/>
    <w:basedOn w:val="DefaultParagraphFont"/>
    <w:link w:val="ListParagraph"/>
    <w:uiPriority w:val="34"/>
    <w:rsid w:val="00EF6EBE"/>
    <w:rPr>
      <w:rFonts w:ascii="Calibri Light" w:eastAsia="Times New Roman" w:hAnsi="Calibri Light"/>
      <w:sz w:val="22"/>
      <w:lang w:eastAsia="en-AU"/>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4"/>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C920FD"/>
    <w:pPr>
      <w:numPr>
        <w:numId w:val="6"/>
      </w:numPr>
      <w:tabs>
        <w:tab w:val="clear" w:pos="567"/>
      </w:tabs>
      <w:spacing w:before="0" w:after="220"/>
      <w:ind w:left="360" w:hanging="360"/>
    </w:pPr>
    <w:rPr>
      <w:rFonts w:ascii="Calibri" w:hAnsi="Calibri"/>
      <w:color w:val="000000" w:themeColor="text1"/>
      <w:sz w:val="24"/>
      <w:szCs w:val="24"/>
    </w:rPr>
  </w:style>
  <w:style w:type="character" w:customStyle="1" w:styleId="OutlineNumbered1Char">
    <w:name w:val="Outline Numbered 1 Char"/>
    <w:link w:val="OutlineNumbered1"/>
    <w:locked/>
    <w:rsid w:val="003715C7"/>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3715C7"/>
    <w:pPr>
      <w:numPr>
        <w:ilvl w:val="1"/>
        <w:numId w:val="6"/>
      </w:numPr>
      <w:tabs>
        <w:tab w:val="clear" w:pos="1134"/>
        <w:tab w:val="num" w:pos="1040"/>
      </w:tabs>
      <w:spacing w:before="0" w:after="220"/>
      <w:ind w:left="1040" w:hanging="520"/>
    </w:pPr>
    <w:rPr>
      <w:rFonts w:ascii="Calibri" w:hAnsi="Calibri"/>
      <w:color w:val="000000" w:themeColor="text1"/>
      <w:sz w:val="24"/>
      <w:szCs w:val="24"/>
    </w:rPr>
  </w:style>
  <w:style w:type="character" w:customStyle="1" w:styleId="OutlineNumbered2Char">
    <w:name w:val="Outline Numbered 2 Char"/>
    <w:link w:val="OutlineNumbered2"/>
    <w:locked/>
    <w:rsid w:val="003715C7"/>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3715C7"/>
    <w:pPr>
      <w:numPr>
        <w:ilvl w:val="2"/>
        <w:numId w:val="6"/>
      </w:numPr>
      <w:tabs>
        <w:tab w:val="clear" w:pos="1701"/>
        <w:tab w:val="num" w:pos="1560"/>
      </w:tabs>
      <w:spacing w:before="0" w:after="220"/>
      <w:ind w:left="1560" w:hanging="520"/>
    </w:pPr>
    <w:rPr>
      <w:rFonts w:ascii="Calibri" w:hAnsi="Calibri"/>
      <w:color w:val="000000" w:themeColor="text1"/>
      <w:sz w:val="24"/>
      <w:szCs w:val="24"/>
    </w:rPr>
  </w:style>
  <w:style w:type="character" w:customStyle="1" w:styleId="OutlineNumbered3Char">
    <w:name w:val="Outline Numbered 3 Char"/>
    <w:link w:val="OutlineNumbered3"/>
    <w:locked/>
    <w:rsid w:val="003715C7"/>
    <w:rPr>
      <w:rFonts w:eastAsia="Times New Roman"/>
      <w:color w:val="000000" w:themeColor="text1"/>
      <w:sz w:val="24"/>
      <w:szCs w:val="24"/>
      <w:lang w:eastAsia="en-AU"/>
    </w:rPr>
  </w:style>
  <w:style w:type="paragraph" w:customStyle="1" w:styleId="SingleParagraph">
    <w:name w:val="Single Paragraph"/>
    <w:basedOn w:val="Normal"/>
    <w:rsid w:val="003715C7"/>
    <w:pPr>
      <w:spacing w:before="0" w:after="220"/>
    </w:pPr>
    <w:rPr>
      <w:rFonts w:ascii="Calibri" w:hAnsi="Calibri"/>
      <w:color w:val="000000" w:themeColor="text1"/>
      <w:sz w:val="24"/>
      <w:szCs w:val="24"/>
    </w:rPr>
  </w:style>
  <w:style w:type="paragraph" w:customStyle="1" w:styleId="ChartMainHeading">
    <w:name w:val="Chart Main Heading"/>
    <w:basedOn w:val="SingleParagraph"/>
    <w:next w:val="Normal"/>
    <w:rsid w:val="003715C7"/>
    <w:pPr>
      <w:jc w:val="center"/>
    </w:pPr>
    <w:rPr>
      <w:b/>
      <w:caps/>
    </w:rPr>
  </w:style>
  <w:style w:type="paragraph" w:customStyle="1" w:styleId="ChartSecondHeading">
    <w:name w:val="Chart Second Heading"/>
    <w:basedOn w:val="SingleParagraph"/>
    <w:next w:val="Normal"/>
    <w:rsid w:val="003715C7"/>
    <w:pPr>
      <w:jc w:val="center"/>
    </w:pPr>
    <w:rPr>
      <w:b/>
    </w:rPr>
  </w:style>
  <w:style w:type="paragraph" w:customStyle="1" w:styleId="TableMainHeading">
    <w:name w:val="Table Main Heading"/>
    <w:basedOn w:val="ChartMainHeading"/>
    <w:rsid w:val="003715C7"/>
  </w:style>
  <w:style w:type="character" w:styleId="CommentReference">
    <w:name w:val="annotation reference"/>
    <w:uiPriority w:val="99"/>
    <w:semiHidden/>
    <w:rsid w:val="003715C7"/>
    <w:rPr>
      <w:rFonts w:cs="Times New Roman"/>
      <w:sz w:val="16"/>
    </w:rPr>
  </w:style>
  <w:style w:type="paragraph" w:styleId="CommentText">
    <w:name w:val="annotation text"/>
    <w:basedOn w:val="Normal"/>
    <w:link w:val="CommentTextChar"/>
    <w:uiPriority w:val="99"/>
    <w:semiHidden/>
    <w:rsid w:val="003715C7"/>
    <w:pPr>
      <w:spacing w:before="0" w:after="220"/>
    </w:pPr>
    <w:rPr>
      <w:rFonts w:ascii="Calibri" w:hAnsi="Calibri"/>
      <w:color w:val="000000" w:themeColor="text1"/>
      <w:sz w:val="20"/>
    </w:rPr>
  </w:style>
  <w:style w:type="character" w:customStyle="1" w:styleId="CommentTextChar">
    <w:name w:val="Comment Text Char"/>
    <w:basedOn w:val="DefaultParagraphFont"/>
    <w:link w:val="CommentText"/>
    <w:uiPriority w:val="99"/>
    <w:semiHidden/>
    <w:rsid w:val="003715C7"/>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3715C7"/>
    <w:rPr>
      <w:b/>
      <w:bCs/>
    </w:rPr>
  </w:style>
  <w:style w:type="character" w:customStyle="1" w:styleId="CommentSubjectChar">
    <w:name w:val="Comment Subject Char"/>
    <w:basedOn w:val="CommentTextChar"/>
    <w:link w:val="CommentSubject"/>
    <w:uiPriority w:val="99"/>
    <w:semiHidden/>
    <w:rsid w:val="003715C7"/>
    <w:rPr>
      <w:rFonts w:eastAsia="Times New Roman"/>
      <w:b/>
      <w:bCs/>
      <w:color w:val="000000" w:themeColor="text1"/>
      <w:lang w:eastAsia="en-AU"/>
    </w:rPr>
  </w:style>
  <w:style w:type="paragraph" w:styleId="PlainText">
    <w:name w:val="Plain Text"/>
    <w:basedOn w:val="Normal"/>
    <w:link w:val="PlainTextChar"/>
    <w:uiPriority w:val="99"/>
    <w:rsid w:val="003715C7"/>
    <w:pPr>
      <w:spacing w:before="0" w:after="22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3715C7"/>
    <w:rPr>
      <w:rFonts w:ascii="Courier New" w:eastAsia="Times New Roman" w:hAnsi="Courier New" w:cs="Courier New"/>
      <w:color w:val="000000" w:themeColor="text1"/>
      <w:lang w:eastAsia="en-AU"/>
    </w:rPr>
  </w:style>
  <w:style w:type="paragraph" w:customStyle="1" w:styleId="FileProperties">
    <w:name w:val="File Properties"/>
    <w:basedOn w:val="Normal"/>
    <w:rsid w:val="003715C7"/>
    <w:pPr>
      <w:spacing w:before="0" w:after="220" w:line="260" w:lineRule="exact"/>
      <w:jc w:val="both"/>
    </w:pPr>
    <w:rPr>
      <w:rFonts w:ascii="Book Antiqua" w:hAnsi="Book Antiqua"/>
      <w:i/>
      <w:color w:val="000000" w:themeColor="text1"/>
      <w:sz w:val="20"/>
    </w:rPr>
  </w:style>
  <w:style w:type="character" w:customStyle="1" w:styleId="italic">
    <w:name w:val="italic"/>
    <w:rsid w:val="003715C7"/>
    <w:rPr>
      <w:i/>
    </w:rPr>
  </w:style>
  <w:style w:type="paragraph" w:customStyle="1" w:styleId="HeadingBase">
    <w:name w:val="Heading Base"/>
    <w:next w:val="Normal"/>
    <w:rsid w:val="003715C7"/>
    <w:rPr>
      <w:rFonts w:ascii="Arial Narrow" w:eastAsia="Times New Roman" w:hAnsi="Arial Narrow"/>
      <w:color w:val="003E74"/>
      <w:lang w:eastAsia="en-AU"/>
    </w:rPr>
  </w:style>
  <w:style w:type="paragraph" w:customStyle="1" w:styleId="Factsheetnumber">
    <w:name w:val="Fact sheet number"/>
    <w:basedOn w:val="HeadingBase"/>
    <w:next w:val="Normal"/>
    <w:rsid w:val="003715C7"/>
    <w:pPr>
      <w:jc w:val="center"/>
    </w:pPr>
    <w:rPr>
      <w:b/>
      <w:smallCaps/>
      <w:sz w:val="40"/>
    </w:rPr>
  </w:style>
  <w:style w:type="paragraph" w:customStyle="1" w:styleId="Version">
    <w:name w:val="Version"/>
    <w:basedOn w:val="Normal"/>
    <w:qFormat/>
    <w:rsid w:val="003715C7"/>
    <w:pPr>
      <w:spacing w:before="0" w:after="0"/>
      <w:jc w:val="right"/>
    </w:pPr>
    <w:rPr>
      <w:color w:val="134A6D"/>
      <w:sz w:val="20"/>
      <w:szCs w:val="24"/>
    </w:rPr>
  </w:style>
  <w:style w:type="paragraph" w:customStyle="1" w:styleId="Boxheading0">
    <w:name w:val="Box heading"/>
    <w:basedOn w:val="Heading4"/>
    <w:qFormat/>
    <w:rsid w:val="003715C7"/>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color w:val="003E74"/>
      <w:kern w:val="0"/>
      <w:szCs w:val="22"/>
    </w:rPr>
  </w:style>
  <w:style w:type="paragraph" w:customStyle="1" w:styleId="TableTextBullet0">
    <w:name w:val="Table Text Bullet"/>
    <w:basedOn w:val="Normal"/>
    <w:rsid w:val="00C920FD"/>
    <w:pPr>
      <w:numPr>
        <w:numId w:val="7"/>
      </w:numPr>
      <w:tabs>
        <w:tab w:val="left" w:pos="397"/>
        <w:tab w:val="num" w:pos="567"/>
      </w:tabs>
      <w:spacing w:before="60" w:after="60"/>
      <w:ind w:left="397" w:hanging="397"/>
    </w:pPr>
    <w:rPr>
      <w:rFonts w:ascii="Arial Narrow" w:hAnsi="Arial Narrow"/>
      <w:color w:val="000000" w:themeColor="text1"/>
      <w:szCs w:val="24"/>
    </w:rPr>
  </w:style>
  <w:style w:type="paragraph" w:customStyle="1" w:styleId="BoxText1">
    <w:name w:val="Box Text 1"/>
    <w:basedOn w:val="Normal"/>
    <w:rsid w:val="003715C7"/>
    <w:pPr>
      <w:spacing w:before="0" w:after="220"/>
    </w:pPr>
    <w:rPr>
      <w:rFonts w:asciiTheme="minorHAnsi" w:hAnsiTheme="minorHAnsi"/>
      <w:color w:val="000000" w:themeColor="text1"/>
      <w:sz w:val="24"/>
      <w:szCs w:val="24"/>
    </w:rPr>
  </w:style>
  <w:style w:type="paragraph" w:customStyle="1" w:styleId="Tablecolumnheading">
    <w:name w:val="Table column heading"/>
    <w:basedOn w:val="Heading3"/>
    <w:qFormat/>
    <w:rsid w:val="003715C7"/>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qFormat/>
    <w:rsid w:val="00C920FD"/>
    <w:pPr>
      <w:numPr>
        <w:numId w:val="8"/>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3715C7"/>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 w:type="paragraph" w:customStyle="1" w:styleId="Tablesecondheading">
    <w:name w:val="Table second heading"/>
    <w:basedOn w:val="Heading3"/>
    <w:qFormat/>
    <w:rsid w:val="003715C7"/>
    <w:pPr>
      <w:spacing w:before="120" w:after="60" w:line="240" w:lineRule="auto"/>
    </w:pPr>
    <w:rPr>
      <w:rFonts w:cs="Times New Roman"/>
      <w:noProof/>
      <w:color w:val="003E74"/>
      <w:kern w:val="0"/>
      <w:sz w:val="22"/>
      <w:szCs w:val="20"/>
    </w:rPr>
  </w:style>
  <w:style w:type="paragraph" w:customStyle="1" w:styleId="Tableheading3">
    <w:name w:val="Table heading 3"/>
    <w:basedOn w:val="Heading5"/>
    <w:qFormat/>
    <w:rsid w:val="003715C7"/>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qFormat/>
    <w:rsid w:val="003715C7"/>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3715C7"/>
    <w:rPr>
      <w:i/>
      <w:iCs/>
    </w:rPr>
  </w:style>
  <w:style w:type="paragraph" w:styleId="TOC1">
    <w:name w:val="toc 1"/>
    <w:basedOn w:val="Normal"/>
    <w:next w:val="Normal"/>
    <w:autoRedefine/>
    <w:uiPriority w:val="39"/>
    <w:unhideWhenUsed/>
    <w:rsid w:val="004843A8"/>
    <w:pPr>
      <w:tabs>
        <w:tab w:val="right" w:leader="dot" w:pos="8494"/>
      </w:tabs>
      <w:spacing w:before="0" w:after="100" w:line="276" w:lineRule="auto"/>
    </w:pPr>
    <w:rPr>
      <w:rFonts w:asciiTheme="minorHAnsi" w:eastAsiaTheme="minorHAnsi" w:hAnsiTheme="minorHAnsi" w:cstheme="minorBidi"/>
      <w:szCs w:val="22"/>
      <w:lang w:eastAsia="en-US"/>
    </w:rPr>
  </w:style>
  <w:style w:type="paragraph" w:styleId="TOC2">
    <w:name w:val="toc 2"/>
    <w:basedOn w:val="Normal"/>
    <w:next w:val="Normal"/>
    <w:autoRedefine/>
    <w:uiPriority w:val="39"/>
    <w:unhideWhenUsed/>
    <w:rsid w:val="00A60AFF"/>
    <w:pPr>
      <w:tabs>
        <w:tab w:val="right" w:leader="dot" w:pos="9346"/>
      </w:tabs>
      <w:spacing w:before="0" w:after="100" w:line="276" w:lineRule="auto"/>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3715C7"/>
    <w:pPr>
      <w:spacing w:before="0" w:after="100" w:line="276" w:lineRule="auto"/>
      <w:ind w:left="44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3715C7"/>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3715C7"/>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3715C7"/>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3715C7"/>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3715C7"/>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715C7"/>
    <w:pPr>
      <w:spacing w:before="0" w:after="100" w:line="276" w:lineRule="auto"/>
      <w:ind w:left="1760"/>
    </w:pPr>
    <w:rPr>
      <w:rFonts w:asciiTheme="minorHAnsi" w:eastAsiaTheme="minorEastAsia" w:hAnsiTheme="minorHAnsi" w:cstheme="minorBidi"/>
      <w:szCs w:val="22"/>
    </w:rPr>
  </w:style>
  <w:style w:type="paragraph" w:customStyle="1" w:styleId="Style1">
    <w:name w:val="Style1"/>
    <w:basedOn w:val="Normal"/>
    <w:link w:val="Style1Char"/>
    <w:qFormat/>
    <w:rsid w:val="003715C7"/>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3715C7"/>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3715C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3715C7"/>
    <w:pPr>
      <w:spacing w:before="0" w:after="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3715C7"/>
    <w:rPr>
      <w:rFonts w:asciiTheme="minorHAnsi" w:hAnsiTheme="minorHAnsi" w:cstheme="minorBidi"/>
    </w:rPr>
  </w:style>
  <w:style w:type="character" w:styleId="EndnoteReference">
    <w:name w:val="endnote reference"/>
    <w:basedOn w:val="DefaultParagraphFont"/>
    <w:uiPriority w:val="99"/>
    <w:unhideWhenUsed/>
    <w:rsid w:val="003715C7"/>
    <w:rPr>
      <w:vertAlign w:val="superscript"/>
    </w:rPr>
  </w:style>
  <w:style w:type="paragraph" w:customStyle="1" w:styleId="TableText1">
    <w:name w:val="TableText"/>
    <w:basedOn w:val="Normal"/>
    <w:link w:val="TableTextChar0"/>
    <w:rsid w:val="003715C7"/>
    <w:pPr>
      <w:spacing w:before="60" w:after="60"/>
    </w:pPr>
    <w:rPr>
      <w:rFonts w:ascii="Tahoma" w:hAnsi="Tahoma"/>
      <w:sz w:val="20"/>
      <w:szCs w:val="24"/>
      <w:lang w:eastAsia="en-US"/>
    </w:rPr>
  </w:style>
  <w:style w:type="character" w:customStyle="1" w:styleId="TableTextChar0">
    <w:name w:val="TableText Char"/>
    <w:basedOn w:val="DefaultParagraphFont"/>
    <w:link w:val="TableText1"/>
    <w:locked/>
    <w:rsid w:val="003715C7"/>
    <w:rPr>
      <w:rFonts w:ascii="Tahoma" w:eastAsia="Times New Roman" w:hAnsi="Tahoma"/>
      <w:szCs w:val="24"/>
    </w:rPr>
  </w:style>
  <w:style w:type="paragraph" w:customStyle="1" w:styleId="AnnexureName">
    <w:name w:val="AnnexureName"/>
    <w:basedOn w:val="Normal"/>
    <w:next w:val="Normal"/>
    <w:rsid w:val="003715C7"/>
    <w:pPr>
      <w:keepNext/>
      <w:spacing w:before="240" w:after="0"/>
    </w:pPr>
    <w:rPr>
      <w:rFonts w:ascii="Tahoma" w:hAnsi="Tahoma"/>
      <w:sz w:val="20"/>
      <w:szCs w:val="24"/>
      <w:lang w:eastAsia="en-US"/>
    </w:rPr>
  </w:style>
  <w:style w:type="paragraph" w:customStyle="1" w:styleId="LetterBodyText">
    <w:name w:val="LetterBodyText"/>
    <w:basedOn w:val="Normal"/>
    <w:rsid w:val="003715C7"/>
    <w:pPr>
      <w:spacing w:before="240" w:after="0"/>
    </w:pPr>
    <w:rPr>
      <w:rFonts w:ascii="Tahoma" w:hAnsi="Tahoma"/>
      <w:sz w:val="20"/>
      <w:szCs w:val="24"/>
      <w:lang w:eastAsia="en-US"/>
    </w:rPr>
  </w:style>
  <w:style w:type="character" w:styleId="UnresolvedMention">
    <w:name w:val="Unresolved Mention"/>
    <w:basedOn w:val="DefaultParagraphFont"/>
    <w:uiPriority w:val="99"/>
    <w:semiHidden/>
    <w:unhideWhenUsed/>
    <w:rsid w:val="003715C7"/>
    <w:rPr>
      <w:color w:val="605E5C"/>
      <w:shd w:val="clear" w:color="auto" w:fill="E1DFDD"/>
    </w:rPr>
  </w:style>
  <w:style w:type="table" w:customStyle="1" w:styleId="TableGrid11">
    <w:name w:val="Table Grid11"/>
    <w:basedOn w:val="TableNormal"/>
    <w:next w:val="TableGrid"/>
    <w:uiPriority w:val="59"/>
    <w:rsid w:val="00F57632"/>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7632"/>
    <w:rPr>
      <w:color w:val="605E5C"/>
      <w:shd w:val="clear" w:color="auto" w:fill="E1DFDD"/>
    </w:rPr>
  </w:style>
  <w:style w:type="paragraph" w:styleId="Title">
    <w:name w:val="Title"/>
    <w:basedOn w:val="Normal"/>
    <w:next w:val="Normal"/>
    <w:link w:val="TitleChar"/>
    <w:uiPriority w:val="10"/>
    <w:qFormat/>
    <w:rsid w:val="00904C61"/>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C61"/>
    <w:rPr>
      <w:rFonts w:asciiTheme="majorHAnsi" w:eastAsiaTheme="majorEastAsia" w:hAnsiTheme="majorHAnsi" w:cstheme="majorBidi"/>
      <w:spacing w:val="-10"/>
      <w:kern w:val="28"/>
      <w:sz w:val="56"/>
      <w:szCs w:val="56"/>
      <w:lang w:eastAsia="en-AU"/>
    </w:rPr>
  </w:style>
  <w:style w:type="paragraph" w:styleId="TableofAuthorities">
    <w:name w:val="table of authorities"/>
    <w:basedOn w:val="Normal"/>
    <w:next w:val="Normal"/>
    <w:uiPriority w:val="99"/>
    <w:unhideWhenUsed/>
    <w:rsid w:val="00904C61"/>
    <w:pPr>
      <w:spacing w:before="0" w:after="0"/>
      <w:ind w:left="240" w:hanging="240"/>
    </w:pPr>
    <w:rPr>
      <w:rFonts w:ascii="Calibri" w:hAnsi="Calibri"/>
      <w:color w:val="000000" w:themeColor="text1"/>
      <w:sz w:val="24"/>
      <w:szCs w:val="24"/>
    </w:rPr>
  </w:style>
  <w:style w:type="character" w:customStyle="1" w:styleId="ui-provider">
    <w:name w:val="ui-provider"/>
    <w:basedOn w:val="DefaultParagraphFont"/>
    <w:rsid w:val="00A737D9"/>
  </w:style>
  <w:style w:type="paragraph" w:customStyle="1" w:styleId="pf0">
    <w:name w:val="pf0"/>
    <w:basedOn w:val="Normal"/>
    <w:rsid w:val="000760BD"/>
    <w:pPr>
      <w:spacing w:before="100" w:beforeAutospacing="1" w:after="100" w:afterAutospacing="1"/>
    </w:pPr>
    <w:rPr>
      <w:rFonts w:ascii="Calibri" w:eastAsiaTheme="minorHAnsi" w:hAnsi="Calibri" w:cs="Calibri"/>
      <w:szCs w:val="22"/>
    </w:rPr>
  </w:style>
  <w:style w:type="character" w:customStyle="1" w:styleId="cf01">
    <w:name w:val="cf01"/>
    <w:basedOn w:val="DefaultParagraphFont"/>
    <w:rsid w:val="000760BD"/>
    <w:rPr>
      <w:rFonts w:ascii="Segoe UI" w:hAnsi="Segoe UI" w:cs="Segoe UI" w:hint="default"/>
    </w:rPr>
  </w:style>
  <w:style w:type="character" w:customStyle="1" w:styleId="cf11">
    <w:name w:val="cf11"/>
    <w:basedOn w:val="DefaultParagraphFont"/>
    <w:rsid w:val="005B4D34"/>
    <w:rPr>
      <w:rFonts w:ascii="Segoe UI" w:hAnsi="Segoe UI" w:cs="Segoe UI" w:hint="default"/>
      <w:color w:val="FF0000"/>
      <w:sz w:val="18"/>
      <w:szCs w:val="18"/>
    </w:rPr>
  </w:style>
  <w:style w:type="character" w:customStyle="1" w:styleId="cf21">
    <w:name w:val="cf21"/>
    <w:basedOn w:val="DefaultParagraphFont"/>
    <w:rsid w:val="005B4D34"/>
    <w:rPr>
      <w:rFonts w:ascii="Segoe UI" w:hAnsi="Segoe UI" w:cs="Segoe UI" w:hint="default"/>
      <w:i/>
      <w:iCs/>
      <w:sz w:val="18"/>
      <w:szCs w:val="18"/>
    </w:rPr>
  </w:style>
  <w:style w:type="character" w:styleId="Mention">
    <w:name w:val="Mention"/>
    <w:basedOn w:val="DefaultParagraphFont"/>
    <w:uiPriority w:val="99"/>
    <w:unhideWhenUsed/>
    <w:rsid w:val="00667B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21715868">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76648660">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35118448">
      <w:bodyDiv w:val="1"/>
      <w:marLeft w:val="0"/>
      <w:marRight w:val="0"/>
      <w:marTop w:val="0"/>
      <w:marBottom w:val="0"/>
      <w:divBdr>
        <w:top w:val="none" w:sz="0" w:space="0" w:color="auto"/>
        <w:left w:val="none" w:sz="0" w:space="0" w:color="auto"/>
        <w:bottom w:val="none" w:sz="0" w:space="0" w:color="auto"/>
        <w:right w:val="none" w:sz="0" w:space="0" w:color="auto"/>
      </w:divBdr>
    </w:div>
    <w:div w:id="1591698442">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09586799">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 w:id="21294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online-services/foreign-investors/authorise-a-representativ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to.gov.au/Law/"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eigninvestment.gov.au/" TargetMode="External"/><Relationship Id="rId4" Type="http://schemas.openxmlformats.org/officeDocument/2006/relationships/webSettings" Target="webSettings.xml"/><Relationship Id="rId9" Type="http://schemas.openxmlformats.org/officeDocument/2006/relationships/hyperlink" Target="https://www.ato.gov.au/law/view/pdf/adhoc-sgml/lpp-protocol-final.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3995</Words>
  <Characters>22124</Characters>
  <Application>Microsoft Office Word</Application>
  <DocSecurity>0</DocSecurity>
  <Lines>389</Lines>
  <Paragraphs>172</Paragraphs>
  <ScaleCrop>false</ScaleCrop>
  <HeadingPairs>
    <vt:vector size="2" baseType="variant">
      <vt:variant>
        <vt:lpstr>Title</vt:lpstr>
      </vt:variant>
      <vt:variant>
        <vt:i4>1</vt:i4>
      </vt:variant>
    </vt:vector>
  </HeadingPairs>
  <TitlesOfParts>
    <vt:vector size="1" baseType="lpstr">
      <vt:lpstr>Guidance Note 12: Tax Conditions</vt:lpstr>
    </vt:vector>
  </TitlesOfParts>
  <Company/>
  <LinksUpToDate>false</LinksUpToDate>
  <CharactersWithSpaces>26105</CharactersWithSpaces>
  <SharedDoc>false</SharedDoc>
  <HLinks>
    <vt:vector size="78" baseType="variant">
      <vt:variant>
        <vt:i4>589901</vt:i4>
      </vt:variant>
      <vt:variant>
        <vt:i4>66</vt:i4>
      </vt:variant>
      <vt:variant>
        <vt:i4>0</vt:i4>
      </vt:variant>
      <vt:variant>
        <vt:i4>5</vt:i4>
      </vt:variant>
      <vt:variant>
        <vt:lpwstr>https://foreigninvestment.gov.au/</vt:lpwstr>
      </vt:variant>
      <vt:variant>
        <vt:lpwstr/>
      </vt:variant>
      <vt:variant>
        <vt:i4>720972</vt:i4>
      </vt:variant>
      <vt:variant>
        <vt:i4>63</vt:i4>
      </vt:variant>
      <vt:variant>
        <vt:i4>0</vt:i4>
      </vt:variant>
      <vt:variant>
        <vt:i4>5</vt:i4>
      </vt:variant>
      <vt:variant>
        <vt:lpwstr>https://www.ato.gov.au/law/view/pdf/adhoc-sgml/lpp-protocol-final.pdf</vt:lpwstr>
      </vt:variant>
      <vt:variant>
        <vt:lpwstr/>
      </vt:variant>
      <vt:variant>
        <vt:i4>6619181</vt:i4>
      </vt:variant>
      <vt:variant>
        <vt:i4>60</vt:i4>
      </vt:variant>
      <vt:variant>
        <vt:i4>0</vt:i4>
      </vt:variant>
      <vt:variant>
        <vt:i4>5</vt:i4>
      </vt:variant>
      <vt:variant>
        <vt:lpwstr>https://www.ato.gov.au/online-services/foreign-investors/authorise-a-representative</vt:lpwstr>
      </vt:variant>
      <vt:variant>
        <vt:lpwstr/>
      </vt:variant>
      <vt:variant>
        <vt:i4>6029340</vt:i4>
      </vt:variant>
      <vt:variant>
        <vt:i4>57</vt:i4>
      </vt:variant>
      <vt:variant>
        <vt:i4>0</vt:i4>
      </vt:variant>
      <vt:variant>
        <vt:i4>5</vt:i4>
      </vt:variant>
      <vt:variant>
        <vt:lpwstr>https://www.ato.gov.au/Law/</vt:lpwstr>
      </vt:variant>
      <vt:variant>
        <vt:lpwstr>Law</vt:lpwstr>
      </vt:variant>
      <vt:variant>
        <vt:i4>1179705</vt:i4>
      </vt:variant>
      <vt:variant>
        <vt:i4>50</vt:i4>
      </vt:variant>
      <vt:variant>
        <vt:i4>0</vt:i4>
      </vt:variant>
      <vt:variant>
        <vt:i4>5</vt:i4>
      </vt:variant>
      <vt:variant>
        <vt:lpwstr/>
      </vt:variant>
      <vt:variant>
        <vt:lpwstr>_Toc177473852</vt:lpwstr>
      </vt:variant>
      <vt:variant>
        <vt:i4>1179705</vt:i4>
      </vt:variant>
      <vt:variant>
        <vt:i4>44</vt:i4>
      </vt:variant>
      <vt:variant>
        <vt:i4>0</vt:i4>
      </vt:variant>
      <vt:variant>
        <vt:i4>5</vt:i4>
      </vt:variant>
      <vt:variant>
        <vt:lpwstr/>
      </vt:variant>
      <vt:variant>
        <vt:lpwstr>_Toc177473851</vt:lpwstr>
      </vt:variant>
      <vt:variant>
        <vt:i4>1179705</vt:i4>
      </vt:variant>
      <vt:variant>
        <vt:i4>38</vt:i4>
      </vt:variant>
      <vt:variant>
        <vt:i4>0</vt:i4>
      </vt:variant>
      <vt:variant>
        <vt:i4>5</vt:i4>
      </vt:variant>
      <vt:variant>
        <vt:lpwstr/>
      </vt:variant>
      <vt:variant>
        <vt:lpwstr>_Toc177473850</vt:lpwstr>
      </vt:variant>
      <vt:variant>
        <vt:i4>1245241</vt:i4>
      </vt:variant>
      <vt:variant>
        <vt:i4>32</vt:i4>
      </vt:variant>
      <vt:variant>
        <vt:i4>0</vt:i4>
      </vt:variant>
      <vt:variant>
        <vt:i4>5</vt:i4>
      </vt:variant>
      <vt:variant>
        <vt:lpwstr/>
      </vt:variant>
      <vt:variant>
        <vt:lpwstr>_Toc177473849</vt:lpwstr>
      </vt:variant>
      <vt:variant>
        <vt:i4>1245241</vt:i4>
      </vt:variant>
      <vt:variant>
        <vt:i4>26</vt:i4>
      </vt:variant>
      <vt:variant>
        <vt:i4>0</vt:i4>
      </vt:variant>
      <vt:variant>
        <vt:i4>5</vt:i4>
      </vt:variant>
      <vt:variant>
        <vt:lpwstr/>
      </vt:variant>
      <vt:variant>
        <vt:lpwstr>_Toc177473848</vt:lpwstr>
      </vt:variant>
      <vt:variant>
        <vt:i4>1245241</vt:i4>
      </vt:variant>
      <vt:variant>
        <vt:i4>20</vt:i4>
      </vt:variant>
      <vt:variant>
        <vt:i4>0</vt:i4>
      </vt:variant>
      <vt:variant>
        <vt:i4>5</vt:i4>
      </vt:variant>
      <vt:variant>
        <vt:lpwstr/>
      </vt:variant>
      <vt:variant>
        <vt:lpwstr>_Toc177473847</vt:lpwstr>
      </vt:variant>
      <vt:variant>
        <vt:i4>1245241</vt:i4>
      </vt:variant>
      <vt:variant>
        <vt:i4>14</vt:i4>
      </vt:variant>
      <vt:variant>
        <vt:i4>0</vt:i4>
      </vt:variant>
      <vt:variant>
        <vt:i4>5</vt:i4>
      </vt:variant>
      <vt:variant>
        <vt:lpwstr/>
      </vt:variant>
      <vt:variant>
        <vt:lpwstr>_Toc177473846</vt:lpwstr>
      </vt:variant>
      <vt:variant>
        <vt:i4>1245241</vt:i4>
      </vt:variant>
      <vt:variant>
        <vt:i4>8</vt:i4>
      </vt:variant>
      <vt:variant>
        <vt:i4>0</vt:i4>
      </vt:variant>
      <vt:variant>
        <vt:i4>5</vt:i4>
      </vt:variant>
      <vt:variant>
        <vt:lpwstr/>
      </vt:variant>
      <vt:variant>
        <vt:lpwstr>_Toc177473845</vt:lpwstr>
      </vt:variant>
      <vt:variant>
        <vt:i4>1245241</vt:i4>
      </vt:variant>
      <vt:variant>
        <vt:i4>2</vt:i4>
      </vt:variant>
      <vt:variant>
        <vt:i4>0</vt:i4>
      </vt:variant>
      <vt:variant>
        <vt:i4>5</vt:i4>
      </vt:variant>
      <vt:variant>
        <vt:lpwstr/>
      </vt:variant>
      <vt:variant>
        <vt:lpwstr>_Toc177473844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12: Tax Conditions</dc:title>
  <dc:subject/>
  <dc:creator>Treasury</dc:creator>
  <cp:keywords/>
  <dc:description/>
  <cp:lastModifiedBy/>
  <cp:revision>1</cp:revision>
  <dcterms:created xsi:type="dcterms:W3CDTF">2025-03-12T22:54:00Z</dcterms:created>
  <dcterms:modified xsi:type="dcterms:W3CDTF">2025-03-12T22:55:00Z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2025-03-12T22:55:08Z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0f06e8d0-11f7-4f19-bfb6-14ae35d9f29b</vt:lpwstr>
  </property>
  <property fmtid="{D5CDD505-2E9C-101B-9397-08002B2CF9AE}" pid="8" name="MSIP_Label_4f932d64-9ab1-4d9b-81d2-a3a8b82dd47d_ContentBits">
    <vt:lpwstr>0</vt:lpwstr>
  </property>
</Properties>
</file>