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8447" w14:textId="2D749178" w:rsidR="00294D1D" w:rsidRDefault="00F97D4A" w:rsidP="00294D1D">
      <w:pPr>
        <w:pStyle w:val="Factsheettitle"/>
        <w:spacing w:before="1440" w:after="360"/>
      </w:pPr>
      <w:r w:rsidRPr="00F97D4A">
        <w:t>G</w:t>
      </w:r>
      <w:r>
        <w:t>uidance Note</w:t>
      </w:r>
      <w:r w:rsidR="00DD3940">
        <w:t xml:space="preserve"> </w:t>
      </w:r>
      <w:r w:rsidR="004E196A">
        <w:t>1</w:t>
      </w:r>
      <w:r w:rsidR="00075A6F">
        <w:t>3</w:t>
      </w:r>
    </w:p>
    <w:p w14:paraId="41C36436" w14:textId="1DDADDDF" w:rsidR="00986A46" w:rsidRPr="006E76BE" w:rsidRDefault="009115C0" w:rsidP="00294D1D">
      <w:pPr>
        <w:pStyle w:val="Heading1"/>
      </w:pPr>
      <w:bookmarkStart w:id="0" w:name="_Toc190941151"/>
      <w:r w:rsidRPr="009115C0">
        <w:t>C</w:t>
      </w:r>
      <w:r>
        <w:t xml:space="preserve">ompliance </w:t>
      </w:r>
      <w:r w:rsidRPr="009115C0">
        <w:t>R</w:t>
      </w:r>
      <w:r>
        <w:t>eporting</w:t>
      </w:r>
      <w:bookmarkEnd w:id="0"/>
      <w:r w:rsidRPr="009115C0">
        <w:t xml:space="preserve"> </w:t>
      </w:r>
    </w:p>
    <w:p w14:paraId="363A51C0" w14:textId="77777777" w:rsidR="00294D1D" w:rsidRDefault="00294D1D" w:rsidP="006A143D"/>
    <w:p w14:paraId="703B501F" w14:textId="33236D34" w:rsidR="004B1102" w:rsidRPr="00812BB7" w:rsidRDefault="004B1102" w:rsidP="00294D1D">
      <w:pPr>
        <w:pStyle w:val="Bullet"/>
      </w:pPr>
      <w:r w:rsidRPr="00812BB7">
        <w:t xml:space="preserve">This </w:t>
      </w:r>
      <w:r w:rsidR="00441071">
        <w:t>G</w:t>
      </w:r>
      <w:r w:rsidRPr="00812BB7">
        <w:t xml:space="preserve">uidance </w:t>
      </w:r>
      <w:r w:rsidR="00C165FF">
        <w:t>N</w:t>
      </w:r>
      <w:r w:rsidRPr="00812BB7">
        <w:t xml:space="preserve">ote provides </w:t>
      </w:r>
      <w:r w:rsidRPr="00294D1D">
        <w:t>information</w:t>
      </w:r>
      <w:r w:rsidRPr="00812BB7">
        <w:t xml:space="preserve"> on:</w:t>
      </w:r>
    </w:p>
    <w:p w14:paraId="2E7DB83D" w14:textId="79ED244E" w:rsidR="004B1102" w:rsidRPr="00812BB7" w:rsidRDefault="004B1102" w:rsidP="00294D1D">
      <w:pPr>
        <w:pStyle w:val="Dash"/>
      </w:pPr>
      <w:r w:rsidRPr="00812BB7">
        <w:t xml:space="preserve">circumstances where foreign </w:t>
      </w:r>
      <w:r w:rsidR="00D9785E">
        <w:t>persons (</w:t>
      </w:r>
      <w:r w:rsidR="000459F9">
        <w:t xml:space="preserve">referred to </w:t>
      </w:r>
      <w:r w:rsidR="00EA5238">
        <w:t xml:space="preserve">in this Guidance Note </w:t>
      </w:r>
      <w:r w:rsidR="000459F9">
        <w:t xml:space="preserve">as foreign </w:t>
      </w:r>
      <w:r w:rsidRPr="00812BB7">
        <w:t>investors</w:t>
      </w:r>
      <w:r w:rsidR="000459F9">
        <w:t>)</w:t>
      </w:r>
      <w:r w:rsidRPr="00812BB7">
        <w:t xml:space="preserve"> </w:t>
      </w:r>
      <w:r w:rsidR="000B77E0">
        <w:t>must</w:t>
      </w:r>
      <w:r w:rsidR="000B77E0" w:rsidRPr="00812BB7">
        <w:t xml:space="preserve"> </w:t>
      </w:r>
      <w:r w:rsidRPr="00294D1D">
        <w:t>report</w:t>
      </w:r>
      <w:r w:rsidRPr="00812BB7">
        <w:t xml:space="preserve"> on their compliance with conditions;</w:t>
      </w:r>
    </w:p>
    <w:p w14:paraId="2811C31E" w14:textId="49940192" w:rsidR="004B1102" w:rsidRPr="00812BB7" w:rsidRDefault="004B1102" w:rsidP="00294D1D">
      <w:pPr>
        <w:pStyle w:val="Dash"/>
      </w:pPr>
      <w:r w:rsidRPr="00812BB7">
        <w:t xml:space="preserve">the different types of reports that </w:t>
      </w:r>
      <w:r w:rsidR="000B77E0">
        <w:t>may</w:t>
      </w:r>
      <w:r w:rsidR="000B77E0" w:rsidRPr="00812BB7">
        <w:t xml:space="preserve"> </w:t>
      </w:r>
      <w:r w:rsidRPr="00812BB7">
        <w:t>be required;</w:t>
      </w:r>
    </w:p>
    <w:p w14:paraId="4C773043" w14:textId="77777777" w:rsidR="004B1102" w:rsidRPr="00812BB7" w:rsidRDefault="004B1102" w:rsidP="00294D1D">
      <w:pPr>
        <w:pStyle w:val="Dash"/>
      </w:pPr>
      <w:r w:rsidRPr="00812BB7">
        <w:t xml:space="preserve">how a compliance </w:t>
      </w:r>
      <w:r w:rsidRPr="00294D1D">
        <w:t>report</w:t>
      </w:r>
      <w:r w:rsidRPr="00812BB7">
        <w:t xml:space="preserve"> should be prepared; and</w:t>
      </w:r>
    </w:p>
    <w:p w14:paraId="1383566E" w14:textId="77777777" w:rsidR="004B1102" w:rsidRPr="00812BB7" w:rsidRDefault="004B1102" w:rsidP="00294D1D">
      <w:pPr>
        <w:pStyle w:val="Dash"/>
      </w:pPr>
      <w:r w:rsidRPr="00812BB7">
        <w:t>meeting obligations under independent audit reporting conditions (including the circumstances in which they may be applied).</w:t>
      </w:r>
    </w:p>
    <w:p w14:paraId="30977681" w14:textId="191C5692" w:rsidR="004B1102" w:rsidRPr="00812BB7" w:rsidRDefault="004B1102" w:rsidP="00294D1D">
      <w:pPr>
        <w:pStyle w:val="Bullet"/>
      </w:pPr>
      <w:r w:rsidRPr="00812BB7">
        <w:t xml:space="preserve">Under section 74 of the </w:t>
      </w:r>
      <w:r w:rsidRPr="00812BB7">
        <w:rPr>
          <w:i/>
        </w:rPr>
        <w:t>Foreign Acquisitions and Takeovers Act 1975</w:t>
      </w:r>
      <w:r w:rsidRPr="00812BB7">
        <w:t xml:space="preserve"> (the </w:t>
      </w:r>
      <w:r w:rsidRPr="00812BB7">
        <w:rPr>
          <w:b/>
        </w:rPr>
        <w:t>Act</w:t>
      </w:r>
      <w:r w:rsidRPr="00812BB7">
        <w:t xml:space="preserve">), the Treasurer may decide that the Commonwealth has no objection to certain foreign investments (defined in the Act as </w:t>
      </w:r>
      <w:r w:rsidR="00294D1D">
        <w:t>‘</w:t>
      </w:r>
      <w:r w:rsidRPr="00812BB7">
        <w:t>significant actions</w:t>
      </w:r>
      <w:r w:rsidR="00294D1D">
        <w:t>’</w:t>
      </w:r>
      <w:r w:rsidRPr="00812BB7">
        <w:t xml:space="preserve">, </w:t>
      </w:r>
      <w:r w:rsidR="00294D1D">
        <w:t>‘</w:t>
      </w:r>
      <w:r w:rsidRPr="00812BB7">
        <w:t xml:space="preserve">notifiable national security </w:t>
      </w:r>
      <w:r w:rsidRPr="00294D1D">
        <w:t>actions</w:t>
      </w:r>
      <w:r w:rsidR="00294D1D">
        <w:t>’</w:t>
      </w:r>
      <w:r w:rsidRPr="00812BB7">
        <w:t xml:space="preserve"> or </w:t>
      </w:r>
      <w:r w:rsidR="00294D1D">
        <w:t>‘</w:t>
      </w:r>
      <w:r w:rsidRPr="00812BB7">
        <w:t>reviewable national security actions</w:t>
      </w:r>
      <w:r w:rsidR="00294D1D">
        <w:t>’</w:t>
      </w:r>
      <w:r w:rsidRPr="00812BB7">
        <w:t xml:space="preserve">), subject to one or more conditions being imposed that the Treasurer is satisfied are necessary to ensure the action will not be contrary to the national interest (or national security, as the case requires). </w:t>
      </w:r>
    </w:p>
    <w:p w14:paraId="3DAA03B6" w14:textId="707E7259" w:rsidR="004B1102" w:rsidRPr="00812BB7" w:rsidRDefault="004B1102" w:rsidP="00294D1D">
      <w:pPr>
        <w:pStyle w:val="Dash"/>
      </w:pPr>
      <w:r>
        <w:t xml:space="preserve">Exemption certificates issued under the Act may also include conditions that a foreign investor </w:t>
      </w:r>
      <w:r w:rsidR="79808FF9">
        <w:t xml:space="preserve">must </w:t>
      </w:r>
      <w:r>
        <w:t xml:space="preserve">comply with. </w:t>
      </w:r>
    </w:p>
    <w:p w14:paraId="3E5D3695" w14:textId="7DF4A9D7" w:rsidR="004B1102" w:rsidRPr="00812BB7" w:rsidRDefault="004B1102" w:rsidP="00294D1D">
      <w:pPr>
        <w:pStyle w:val="Bullet"/>
      </w:pPr>
      <w:r w:rsidRPr="00812BB7">
        <w:t xml:space="preserve">Generally, if conditions are imposed, these </w:t>
      </w:r>
      <w:r w:rsidR="004C3DA8">
        <w:t xml:space="preserve">may </w:t>
      </w:r>
      <w:r w:rsidRPr="00812BB7">
        <w:t xml:space="preserve">also include </w:t>
      </w:r>
      <w:r w:rsidR="004C3DA8">
        <w:t>requirement</w:t>
      </w:r>
      <w:r w:rsidR="00CA7910">
        <w:t>s</w:t>
      </w:r>
      <w:r w:rsidR="004C3DA8">
        <w:t xml:space="preserve"> to</w:t>
      </w:r>
      <w:r w:rsidRPr="00812BB7">
        <w:t xml:space="preserve"> </w:t>
      </w:r>
      <w:r w:rsidR="00EB5D73">
        <w:t xml:space="preserve">periodically </w:t>
      </w:r>
      <w:r w:rsidRPr="00294D1D">
        <w:t>report</w:t>
      </w:r>
      <w:r w:rsidRPr="00812BB7">
        <w:t xml:space="preserve"> on compliance with the conditions</w:t>
      </w:r>
      <w:r w:rsidR="00632A06">
        <w:t xml:space="preserve"> imposed. </w:t>
      </w:r>
    </w:p>
    <w:p w14:paraId="1903C753" w14:textId="681D8453" w:rsidR="004B1102" w:rsidRPr="00812BB7" w:rsidRDefault="004B1102" w:rsidP="00294D1D">
      <w:pPr>
        <w:pStyle w:val="Bullet"/>
      </w:pPr>
      <w:r w:rsidRPr="00812BB7">
        <w:t>A foreign investor</w:t>
      </w:r>
      <w:r w:rsidR="00294D1D">
        <w:t>’</w:t>
      </w:r>
      <w:r w:rsidRPr="00812BB7">
        <w:t xml:space="preserve">s specific compliance reporting obligations are set out in the </w:t>
      </w:r>
      <w:r w:rsidRPr="00294D1D">
        <w:t>relevant</w:t>
      </w:r>
      <w:r w:rsidRPr="00812BB7">
        <w:t xml:space="preserve"> no objection notification or exemption certificate issued to them. </w:t>
      </w:r>
    </w:p>
    <w:p w14:paraId="410282C9" w14:textId="1A54E865" w:rsidR="0042540F" w:rsidRDefault="004B1102" w:rsidP="00294D1D">
      <w:pPr>
        <w:pStyle w:val="Dash"/>
      </w:pPr>
      <w:r w:rsidRPr="00812BB7">
        <w:t xml:space="preserve">These reporting conditions may require an officer of the investor to </w:t>
      </w:r>
      <w:r w:rsidRPr="00294D1D">
        <w:t>certify</w:t>
      </w:r>
      <w:r w:rsidRPr="00812BB7">
        <w:t xml:space="preserve"> the investor</w:t>
      </w:r>
      <w:r w:rsidR="00294D1D">
        <w:t>’</w:t>
      </w:r>
      <w:r w:rsidRPr="00812BB7">
        <w:t xml:space="preserve">s compliance with the conditions </w:t>
      </w:r>
      <w:r w:rsidR="00F21A2D">
        <w:t xml:space="preserve">(compliance reports) </w:t>
      </w:r>
      <w:r w:rsidRPr="00812BB7">
        <w:t>or require that an independent audit regarding compliance with the conditions be carried out</w:t>
      </w:r>
      <w:r w:rsidR="00052424">
        <w:t xml:space="preserve"> </w:t>
      </w:r>
      <w:r w:rsidR="004B20F0">
        <w:t xml:space="preserve">periodically </w:t>
      </w:r>
      <w:r w:rsidR="00052424">
        <w:t>(independent audit report</w:t>
      </w:r>
      <w:r w:rsidR="00D96720">
        <w:t>s</w:t>
      </w:r>
      <w:proofErr w:type="gramStart"/>
      <w:r w:rsidR="00D96720">
        <w:t>)</w:t>
      </w:r>
      <w:r w:rsidR="00052424">
        <w:t>,</w:t>
      </w:r>
      <w:r w:rsidRPr="00812BB7">
        <w:t xml:space="preserve"> </w:t>
      </w:r>
      <w:r w:rsidR="00817D2E">
        <w:t>and</w:t>
      </w:r>
      <w:proofErr w:type="gramEnd"/>
      <w:r w:rsidR="00817D2E">
        <w:t xml:space="preserve"> submit these reports to Treasury</w:t>
      </w:r>
      <w:r w:rsidRPr="00812BB7">
        <w:t xml:space="preserve">. Exemption certificates issued under the Act also may include independent audit conditions. </w:t>
      </w:r>
    </w:p>
    <w:p w14:paraId="5C43F9C5" w14:textId="46641A92" w:rsidR="00F60895" w:rsidRDefault="004B1102" w:rsidP="00294D1D">
      <w:pPr>
        <w:pStyle w:val="Bullet"/>
      </w:pPr>
      <w:r>
        <w:t xml:space="preserve">A template for preparing compliance reports that can be used by investors </w:t>
      </w:r>
      <w:r w:rsidR="00F60895">
        <w:t xml:space="preserve">is shown </w:t>
      </w:r>
      <w:r>
        <w:t xml:space="preserve">at </w:t>
      </w:r>
      <w:r w:rsidRPr="00D82688">
        <w:rPr>
          <w:u w:val="single"/>
        </w:rPr>
        <w:t>Attachment A</w:t>
      </w:r>
      <w:r>
        <w:t xml:space="preserve"> of this guidance note.</w:t>
      </w:r>
    </w:p>
    <w:p w14:paraId="18602560" w14:textId="309720E3" w:rsidR="004B1102" w:rsidRDefault="004B1102" w:rsidP="00294D1D">
      <w:pPr>
        <w:pStyle w:val="Bullet"/>
      </w:pPr>
      <w:r>
        <w:t xml:space="preserve">The information provided in this guidance note is general advice </w:t>
      </w:r>
      <w:proofErr w:type="gramStart"/>
      <w:r w:rsidR="3D3B6D3E">
        <w:t xml:space="preserve">only, </w:t>
      </w:r>
      <w:r>
        <w:t>and</w:t>
      </w:r>
      <w:proofErr w:type="gramEnd"/>
      <w:r>
        <w:t xml:space="preserve"> </w:t>
      </w:r>
      <w:r w:rsidR="002D527C">
        <w:t xml:space="preserve">should </w:t>
      </w:r>
      <w:r>
        <w:t xml:space="preserve">be read in conjunction with the relevant no objection notification or exemption certificate.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4"/>
      </w:tblGrid>
      <w:tr w:rsidR="00294D1D" w:rsidRPr="00812BB7" w14:paraId="683FA413" w14:textId="77777777" w:rsidTr="64C0B5DE">
        <w:tc>
          <w:tcPr>
            <w:tcW w:w="5000" w:type="pct"/>
            <w:shd w:val="clear" w:color="auto" w:fill="F2F2F2" w:themeFill="background1" w:themeFillShade="F2"/>
            <w:tcMar>
              <w:top w:w="227" w:type="dxa"/>
              <w:left w:w="227" w:type="dxa"/>
              <w:bottom w:w="227" w:type="dxa"/>
              <w:right w:w="227" w:type="dxa"/>
            </w:tcMar>
          </w:tcPr>
          <w:p w14:paraId="338A734A" w14:textId="77777777" w:rsidR="00294D1D" w:rsidRPr="00812BB7" w:rsidRDefault="00294D1D" w:rsidP="00294D1D">
            <w:pPr>
              <w:pStyle w:val="BoxHeading"/>
            </w:pPr>
            <w:r w:rsidRPr="00812BB7">
              <w:lastRenderedPageBreak/>
              <w:t xml:space="preserve">Note </w:t>
            </w:r>
          </w:p>
          <w:p w14:paraId="62D05352" w14:textId="2605727E" w:rsidR="00A011AC" w:rsidRPr="007C32DB" w:rsidRDefault="00A011AC" w:rsidP="00294D1D">
            <w:pPr>
              <w:pStyle w:val="BoxText"/>
            </w:pPr>
            <w:r>
              <w:t xml:space="preserve">Foreign </w:t>
            </w:r>
            <w:r w:rsidR="00F25107">
              <w:t>investors</w:t>
            </w:r>
            <w:r>
              <w:t xml:space="preserve"> who </w:t>
            </w:r>
            <w:r w:rsidR="00FE253C">
              <w:t>take an action specified in</w:t>
            </w:r>
            <w:r>
              <w:t xml:space="preserve"> a no objection notification or exemption certificate on or after 1 July 2023 will </w:t>
            </w:r>
            <w:r w:rsidR="007C32DB">
              <w:t>generally have notification obligations in relation to the Registrar of the Register of Foreign Ownership of Australian Assets</w:t>
            </w:r>
            <w:r w:rsidR="0042409D">
              <w:t xml:space="preserve"> instead of to </w:t>
            </w:r>
            <w:r w:rsidR="007C32DB">
              <w:t xml:space="preserve">the Treasurer. For more information, see the </w:t>
            </w:r>
            <w:r w:rsidR="007C32DB">
              <w:rPr>
                <w:i/>
                <w:iCs/>
              </w:rPr>
              <w:t>Register of Foreign Ownership of Australian Assets</w:t>
            </w:r>
            <w:r w:rsidR="007C32DB">
              <w:t xml:space="preserve"> Guidance Note and Transitional Guide. </w:t>
            </w:r>
          </w:p>
          <w:p w14:paraId="7BBCE9E2" w14:textId="782209BC" w:rsidR="00FA300A" w:rsidRPr="00812BB7" w:rsidRDefault="00775F5E" w:rsidP="00DF1D05">
            <w:pPr>
              <w:pStyle w:val="BoxText"/>
            </w:pPr>
            <w:r>
              <w:t xml:space="preserve">In some cases, Treasury will not take compliance action </w:t>
            </w:r>
            <w:r w:rsidR="00D464F2">
              <w:t xml:space="preserve">against </w:t>
            </w:r>
            <w:r w:rsidR="0ED0BF7F">
              <w:t xml:space="preserve">a </w:t>
            </w:r>
            <w:r w:rsidR="5A424604">
              <w:t xml:space="preserve">foreign </w:t>
            </w:r>
            <w:r w:rsidR="46117D5F">
              <w:t>investor</w:t>
            </w:r>
            <w:r w:rsidR="5A424604">
              <w:t xml:space="preserve"> </w:t>
            </w:r>
            <w:r w:rsidR="7B0B5519">
              <w:t xml:space="preserve">who </w:t>
            </w:r>
            <w:r w:rsidR="4E6857DD">
              <w:t>fail</w:t>
            </w:r>
            <w:r w:rsidR="78202158">
              <w:t>s</w:t>
            </w:r>
            <w:r w:rsidR="4E6857DD">
              <w:t xml:space="preserve"> </w:t>
            </w:r>
            <w:r w:rsidR="7B0B5519">
              <w:t xml:space="preserve">to </w:t>
            </w:r>
            <w:r w:rsidR="323B0946">
              <w:t>notify</w:t>
            </w:r>
            <w:r w:rsidR="3822D723">
              <w:t xml:space="preserve"> the Treasurer</w:t>
            </w:r>
            <w:r w:rsidR="5B01CFE7">
              <w:t xml:space="preserve"> or Treasury</w:t>
            </w:r>
            <w:r w:rsidR="3822D723">
              <w:t xml:space="preserve"> </w:t>
            </w:r>
            <w:r w:rsidR="4AB41EDF">
              <w:t>of a</w:t>
            </w:r>
            <w:r w:rsidR="29C59CBB">
              <w:t xml:space="preserve"> proposed </w:t>
            </w:r>
            <w:r>
              <w:t>e</w:t>
            </w:r>
            <w:r w:rsidR="4AB41EDF">
              <w:t xml:space="preserve">vent </w:t>
            </w:r>
            <w:r w:rsidR="29C59CBB">
              <w:t xml:space="preserve">or action described </w:t>
            </w:r>
            <w:r w:rsidR="4AB41EDF">
              <w:t xml:space="preserve">under </w:t>
            </w:r>
            <w:r w:rsidR="29C59CBB">
              <w:t xml:space="preserve">a </w:t>
            </w:r>
            <w:r w:rsidR="4AB41EDF">
              <w:t xml:space="preserve">no objection notification or exemption certificate </w:t>
            </w:r>
            <w:r w:rsidR="677D3D3E">
              <w:t xml:space="preserve">but who instead </w:t>
            </w:r>
            <w:r w:rsidR="323B0946">
              <w:t>give</w:t>
            </w:r>
            <w:r w:rsidR="30E2A167">
              <w:t>s</w:t>
            </w:r>
            <w:r w:rsidR="003849C3">
              <w:t xml:space="preserve"> a register notice </w:t>
            </w:r>
            <w:r w:rsidR="00D20000">
              <w:t>in relation to the same event</w:t>
            </w:r>
            <w:r w:rsidR="00B524DD">
              <w:t xml:space="preserve">. </w:t>
            </w:r>
            <w:r w:rsidR="00FA300A">
              <w:t xml:space="preserve">For more information, see the </w:t>
            </w:r>
            <w:r w:rsidR="00FA300A" w:rsidRPr="64C0B5DE">
              <w:rPr>
                <w:i/>
                <w:iCs/>
              </w:rPr>
              <w:t>Register of Foreign Ownership of Australian Assets</w:t>
            </w:r>
            <w:r w:rsidR="00FA300A">
              <w:t xml:space="preserve"> Guidance Note.</w:t>
            </w:r>
          </w:p>
        </w:tc>
      </w:tr>
    </w:tbl>
    <w:p w14:paraId="6C866708" w14:textId="77777777" w:rsidR="004B1102" w:rsidRPr="00812BB7" w:rsidRDefault="004B1102" w:rsidP="00294D1D">
      <w:pPr>
        <w:pStyle w:val="NoSpacing"/>
      </w:pPr>
    </w:p>
    <w:sdt>
      <w:sdtPr>
        <w:rPr>
          <w:rFonts w:ascii="Calibri Light" w:eastAsia="Times New Roman" w:hAnsi="Calibri Light" w:cs="Times New Roman"/>
          <w:b/>
          <w:color w:val="5F5F5F" w:themeColor="text2"/>
          <w:sz w:val="32"/>
          <w:szCs w:val="32"/>
          <w:lang w:eastAsia="en-AU"/>
        </w:rPr>
        <w:id w:val="-1707554510"/>
        <w:docPartObj>
          <w:docPartGallery w:val="Table of Contents"/>
          <w:docPartUnique/>
        </w:docPartObj>
      </w:sdtPr>
      <w:sdtEndPr>
        <w:rPr>
          <w:rFonts w:cs="Calibri Light"/>
          <w:bCs/>
          <w:noProof/>
          <w:color w:val="auto"/>
          <w:sz w:val="22"/>
          <w:szCs w:val="22"/>
        </w:rPr>
      </w:sdtEndPr>
      <w:sdtContent>
        <w:p w14:paraId="60930049" w14:textId="78910CAE" w:rsidR="006F2372" w:rsidRDefault="004B1102">
          <w:pPr>
            <w:pStyle w:val="TOC1"/>
            <w:tabs>
              <w:tab w:val="right" w:leader="dot" w:pos="8494"/>
            </w:tabs>
            <w:rPr>
              <w:rFonts w:eastAsiaTheme="minorEastAsia"/>
              <w:noProof/>
              <w:kern w:val="2"/>
              <w:sz w:val="24"/>
              <w:szCs w:val="24"/>
              <w:lang w:eastAsia="en-AU"/>
              <w14:ligatures w14:val="standardContextual"/>
            </w:rPr>
          </w:pPr>
          <w:r w:rsidRPr="000B544F">
            <w:rPr>
              <w:noProof/>
              <w:color w:val="5F5F5F" w:themeColor="text2"/>
              <w:sz w:val="32"/>
              <w:szCs w:val="32"/>
            </w:rPr>
            <w:t>Looking for more?</w:t>
          </w:r>
          <w:r w:rsidRPr="00B80B4A">
            <w:rPr>
              <w:rFonts w:cs="Calibri Light"/>
            </w:rPr>
            <w:fldChar w:fldCharType="begin"/>
          </w:r>
          <w:r w:rsidRPr="00B80B4A">
            <w:rPr>
              <w:rFonts w:cs="Calibri Light"/>
            </w:rPr>
            <w:instrText xml:space="preserve"> TOC \o "1-2" \h \z \u </w:instrText>
          </w:r>
          <w:r w:rsidRPr="00B80B4A">
            <w:rPr>
              <w:rFonts w:cs="Calibri Light"/>
            </w:rPr>
            <w:fldChar w:fldCharType="separate"/>
          </w:r>
          <w:hyperlink w:anchor="_Toc190941151" w:history="1"/>
        </w:p>
        <w:p w14:paraId="027EED47" w14:textId="5815E4F2" w:rsidR="006F2372" w:rsidRDefault="000B0A43">
          <w:pPr>
            <w:pStyle w:val="TOC2"/>
            <w:rPr>
              <w:rFonts w:eastAsiaTheme="minorEastAsia"/>
              <w:noProof/>
              <w:kern w:val="2"/>
              <w:sz w:val="24"/>
              <w:szCs w:val="24"/>
              <w:lang w:eastAsia="en-AU"/>
              <w14:ligatures w14:val="standardContextual"/>
            </w:rPr>
          </w:pPr>
          <w:hyperlink w:anchor="_Toc190941152" w:history="1">
            <w:r w:rsidR="006F2372" w:rsidRPr="00827DBA">
              <w:rPr>
                <w:rStyle w:val="Hyperlink"/>
                <w:noProof/>
              </w:rPr>
              <w:t xml:space="preserve">A: </w:t>
            </w:r>
            <w:r w:rsidR="006F2372" w:rsidRPr="00827DBA">
              <w:rPr>
                <w:rStyle w:val="Hyperlink"/>
                <w:noProof/>
                <w:lang w:val="en"/>
              </w:rPr>
              <w:t>Why do you need to report on your compliance?</w:t>
            </w:r>
            <w:r w:rsidR="006F2372">
              <w:rPr>
                <w:noProof/>
                <w:webHidden/>
              </w:rPr>
              <w:tab/>
            </w:r>
            <w:r w:rsidR="006F2372">
              <w:rPr>
                <w:noProof/>
                <w:webHidden/>
              </w:rPr>
              <w:fldChar w:fldCharType="begin"/>
            </w:r>
            <w:r w:rsidR="006F2372">
              <w:rPr>
                <w:noProof/>
                <w:webHidden/>
              </w:rPr>
              <w:instrText xml:space="preserve"> PAGEREF _Toc190941152 \h </w:instrText>
            </w:r>
            <w:r w:rsidR="006F2372">
              <w:rPr>
                <w:noProof/>
                <w:webHidden/>
              </w:rPr>
            </w:r>
            <w:r w:rsidR="006F2372">
              <w:rPr>
                <w:noProof/>
                <w:webHidden/>
              </w:rPr>
              <w:fldChar w:fldCharType="separate"/>
            </w:r>
            <w:r w:rsidR="002B78D8">
              <w:rPr>
                <w:noProof/>
                <w:webHidden/>
              </w:rPr>
              <w:t>3</w:t>
            </w:r>
            <w:r w:rsidR="006F2372">
              <w:rPr>
                <w:noProof/>
                <w:webHidden/>
              </w:rPr>
              <w:fldChar w:fldCharType="end"/>
            </w:r>
          </w:hyperlink>
        </w:p>
        <w:p w14:paraId="5A6180D4" w14:textId="03FE912B" w:rsidR="006F2372" w:rsidRDefault="000B0A43">
          <w:pPr>
            <w:pStyle w:val="TOC2"/>
            <w:rPr>
              <w:rFonts w:eastAsiaTheme="minorEastAsia"/>
              <w:noProof/>
              <w:kern w:val="2"/>
              <w:sz w:val="24"/>
              <w:szCs w:val="24"/>
              <w:lang w:eastAsia="en-AU"/>
              <w14:ligatures w14:val="standardContextual"/>
            </w:rPr>
          </w:pPr>
          <w:hyperlink w:anchor="_Toc190941153" w:history="1">
            <w:r w:rsidR="006F2372" w:rsidRPr="00827DBA">
              <w:rPr>
                <w:rStyle w:val="Hyperlink"/>
                <w:noProof/>
              </w:rPr>
              <w:t xml:space="preserve">B: </w:t>
            </w:r>
            <w:r w:rsidR="006F2372" w:rsidRPr="00827DBA">
              <w:rPr>
                <w:rStyle w:val="Hyperlink"/>
                <w:noProof/>
                <w:lang w:val="en"/>
              </w:rPr>
              <w:t xml:space="preserve">Types of </w:t>
            </w:r>
            <w:r w:rsidR="006F2372" w:rsidRPr="00827DBA">
              <w:rPr>
                <w:rStyle w:val="Hyperlink"/>
                <w:noProof/>
              </w:rPr>
              <w:t>compliance</w:t>
            </w:r>
            <w:r w:rsidR="006F2372" w:rsidRPr="00827DBA">
              <w:rPr>
                <w:rStyle w:val="Hyperlink"/>
                <w:noProof/>
                <w:lang w:val="en"/>
              </w:rPr>
              <w:t xml:space="preserve"> </w:t>
            </w:r>
            <w:r w:rsidR="006F2372" w:rsidRPr="00827DBA">
              <w:rPr>
                <w:rStyle w:val="Hyperlink"/>
                <w:noProof/>
              </w:rPr>
              <w:t>reports</w:t>
            </w:r>
            <w:r w:rsidR="006F2372">
              <w:rPr>
                <w:noProof/>
                <w:webHidden/>
              </w:rPr>
              <w:tab/>
            </w:r>
            <w:r w:rsidR="006F2372">
              <w:rPr>
                <w:noProof/>
                <w:webHidden/>
              </w:rPr>
              <w:fldChar w:fldCharType="begin"/>
            </w:r>
            <w:r w:rsidR="006F2372">
              <w:rPr>
                <w:noProof/>
                <w:webHidden/>
              </w:rPr>
              <w:instrText xml:space="preserve"> PAGEREF _Toc190941153 \h </w:instrText>
            </w:r>
            <w:r w:rsidR="006F2372">
              <w:rPr>
                <w:noProof/>
                <w:webHidden/>
              </w:rPr>
            </w:r>
            <w:r w:rsidR="006F2372">
              <w:rPr>
                <w:noProof/>
                <w:webHidden/>
              </w:rPr>
              <w:fldChar w:fldCharType="separate"/>
            </w:r>
            <w:r w:rsidR="002B78D8">
              <w:rPr>
                <w:noProof/>
                <w:webHidden/>
              </w:rPr>
              <w:t>3</w:t>
            </w:r>
            <w:r w:rsidR="006F2372">
              <w:rPr>
                <w:noProof/>
                <w:webHidden/>
              </w:rPr>
              <w:fldChar w:fldCharType="end"/>
            </w:r>
          </w:hyperlink>
        </w:p>
        <w:p w14:paraId="69981C28" w14:textId="08D218E4" w:rsidR="006F2372" w:rsidRDefault="000B0A43">
          <w:pPr>
            <w:pStyle w:val="TOC2"/>
            <w:rPr>
              <w:rFonts w:eastAsiaTheme="minorEastAsia"/>
              <w:noProof/>
              <w:kern w:val="2"/>
              <w:sz w:val="24"/>
              <w:szCs w:val="24"/>
              <w:lang w:eastAsia="en-AU"/>
              <w14:ligatures w14:val="standardContextual"/>
            </w:rPr>
          </w:pPr>
          <w:hyperlink w:anchor="_Toc190941154" w:history="1">
            <w:r w:rsidR="006F2372" w:rsidRPr="00827DBA">
              <w:rPr>
                <w:rStyle w:val="Hyperlink"/>
                <w:noProof/>
              </w:rPr>
              <w:t xml:space="preserve">C: </w:t>
            </w:r>
            <w:r w:rsidR="006F2372" w:rsidRPr="00827DBA">
              <w:rPr>
                <w:rStyle w:val="Hyperlink"/>
                <w:noProof/>
                <w:lang w:val="en"/>
              </w:rPr>
              <w:t xml:space="preserve">How should a </w:t>
            </w:r>
            <w:r w:rsidR="006F2372" w:rsidRPr="00827DBA">
              <w:rPr>
                <w:rStyle w:val="Hyperlink"/>
                <w:noProof/>
              </w:rPr>
              <w:t>compliance</w:t>
            </w:r>
            <w:r w:rsidR="006F2372" w:rsidRPr="00827DBA">
              <w:rPr>
                <w:rStyle w:val="Hyperlink"/>
                <w:noProof/>
                <w:lang w:val="en"/>
              </w:rPr>
              <w:t xml:space="preserve"> report be </w:t>
            </w:r>
            <w:r w:rsidR="006F2372" w:rsidRPr="00827DBA">
              <w:rPr>
                <w:rStyle w:val="Hyperlink"/>
                <w:noProof/>
              </w:rPr>
              <w:t>prepared</w:t>
            </w:r>
            <w:r w:rsidR="006F2372" w:rsidRPr="00827DBA">
              <w:rPr>
                <w:rStyle w:val="Hyperlink"/>
                <w:noProof/>
                <w:lang w:val="en"/>
              </w:rPr>
              <w:t>?</w:t>
            </w:r>
            <w:r w:rsidR="006F2372">
              <w:rPr>
                <w:noProof/>
                <w:webHidden/>
              </w:rPr>
              <w:tab/>
            </w:r>
            <w:r w:rsidR="006F2372">
              <w:rPr>
                <w:noProof/>
                <w:webHidden/>
              </w:rPr>
              <w:fldChar w:fldCharType="begin"/>
            </w:r>
            <w:r w:rsidR="006F2372">
              <w:rPr>
                <w:noProof/>
                <w:webHidden/>
              </w:rPr>
              <w:instrText xml:space="preserve"> PAGEREF _Toc190941154 \h </w:instrText>
            </w:r>
            <w:r w:rsidR="006F2372">
              <w:rPr>
                <w:noProof/>
                <w:webHidden/>
              </w:rPr>
            </w:r>
            <w:r w:rsidR="006F2372">
              <w:rPr>
                <w:noProof/>
                <w:webHidden/>
              </w:rPr>
              <w:fldChar w:fldCharType="separate"/>
            </w:r>
            <w:r w:rsidR="002B78D8">
              <w:rPr>
                <w:noProof/>
                <w:webHidden/>
              </w:rPr>
              <w:t>3</w:t>
            </w:r>
            <w:r w:rsidR="006F2372">
              <w:rPr>
                <w:noProof/>
                <w:webHidden/>
              </w:rPr>
              <w:fldChar w:fldCharType="end"/>
            </w:r>
          </w:hyperlink>
        </w:p>
        <w:p w14:paraId="0B7D24E5" w14:textId="60D9DED8" w:rsidR="006F2372" w:rsidRDefault="000B0A43">
          <w:pPr>
            <w:pStyle w:val="TOC2"/>
            <w:rPr>
              <w:rFonts w:eastAsiaTheme="minorEastAsia"/>
              <w:noProof/>
              <w:kern w:val="2"/>
              <w:sz w:val="24"/>
              <w:szCs w:val="24"/>
              <w:lang w:eastAsia="en-AU"/>
              <w14:ligatures w14:val="standardContextual"/>
            </w:rPr>
          </w:pPr>
          <w:hyperlink w:anchor="_Toc190941155" w:history="1">
            <w:r w:rsidR="006F2372" w:rsidRPr="00827DBA">
              <w:rPr>
                <w:rStyle w:val="Hyperlink"/>
                <w:noProof/>
              </w:rPr>
              <w:t>D: Timeliness</w:t>
            </w:r>
            <w:r w:rsidR="006F2372">
              <w:rPr>
                <w:noProof/>
                <w:webHidden/>
              </w:rPr>
              <w:tab/>
            </w:r>
            <w:r w:rsidR="006F2372">
              <w:rPr>
                <w:noProof/>
                <w:webHidden/>
              </w:rPr>
              <w:fldChar w:fldCharType="begin"/>
            </w:r>
            <w:r w:rsidR="006F2372">
              <w:rPr>
                <w:noProof/>
                <w:webHidden/>
              </w:rPr>
              <w:instrText xml:space="preserve"> PAGEREF _Toc190941155 \h </w:instrText>
            </w:r>
            <w:r w:rsidR="006F2372">
              <w:rPr>
                <w:noProof/>
                <w:webHidden/>
              </w:rPr>
            </w:r>
            <w:r w:rsidR="006F2372">
              <w:rPr>
                <w:noProof/>
                <w:webHidden/>
              </w:rPr>
              <w:fldChar w:fldCharType="separate"/>
            </w:r>
            <w:r w:rsidR="002B78D8">
              <w:rPr>
                <w:noProof/>
                <w:webHidden/>
              </w:rPr>
              <w:t>4</w:t>
            </w:r>
            <w:r w:rsidR="006F2372">
              <w:rPr>
                <w:noProof/>
                <w:webHidden/>
              </w:rPr>
              <w:fldChar w:fldCharType="end"/>
            </w:r>
          </w:hyperlink>
        </w:p>
        <w:p w14:paraId="5AFD0A0E" w14:textId="36EDCCD2" w:rsidR="006F2372" w:rsidRDefault="000B0A43">
          <w:pPr>
            <w:pStyle w:val="TOC2"/>
            <w:rPr>
              <w:rFonts w:eastAsiaTheme="minorEastAsia"/>
              <w:noProof/>
              <w:kern w:val="2"/>
              <w:sz w:val="24"/>
              <w:szCs w:val="24"/>
              <w:lang w:eastAsia="en-AU"/>
              <w14:ligatures w14:val="standardContextual"/>
            </w:rPr>
          </w:pPr>
          <w:hyperlink w:anchor="_Toc190941156" w:history="1">
            <w:r w:rsidR="006F2372" w:rsidRPr="00827DBA">
              <w:rPr>
                <w:rStyle w:val="Hyperlink"/>
                <w:noProof/>
              </w:rPr>
              <w:t xml:space="preserve">E: </w:t>
            </w:r>
            <w:r w:rsidR="006F2372" w:rsidRPr="00827DBA">
              <w:rPr>
                <w:rStyle w:val="Hyperlink"/>
                <w:noProof/>
                <w:lang w:val="en"/>
              </w:rPr>
              <w:t xml:space="preserve">Who prepares </w:t>
            </w:r>
            <w:r w:rsidR="006F2372" w:rsidRPr="00827DBA">
              <w:rPr>
                <w:rStyle w:val="Hyperlink"/>
                <w:noProof/>
              </w:rPr>
              <w:t>and</w:t>
            </w:r>
            <w:r w:rsidR="006F2372" w:rsidRPr="00827DBA">
              <w:rPr>
                <w:rStyle w:val="Hyperlink"/>
                <w:noProof/>
                <w:lang w:val="en"/>
              </w:rPr>
              <w:t xml:space="preserve"> signs off on </w:t>
            </w:r>
            <w:r w:rsidR="006F2372" w:rsidRPr="00827DBA">
              <w:rPr>
                <w:rStyle w:val="Hyperlink"/>
                <w:noProof/>
              </w:rPr>
              <w:t>the</w:t>
            </w:r>
            <w:r w:rsidR="006F2372" w:rsidRPr="00827DBA">
              <w:rPr>
                <w:rStyle w:val="Hyperlink"/>
                <w:noProof/>
                <w:lang w:val="en"/>
              </w:rPr>
              <w:t xml:space="preserve"> report and their role(s) in relation to the investor</w:t>
            </w:r>
            <w:r w:rsidR="006F2372">
              <w:rPr>
                <w:noProof/>
                <w:webHidden/>
              </w:rPr>
              <w:tab/>
            </w:r>
            <w:r w:rsidR="006F2372">
              <w:rPr>
                <w:noProof/>
                <w:webHidden/>
              </w:rPr>
              <w:fldChar w:fldCharType="begin"/>
            </w:r>
            <w:r w:rsidR="006F2372">
              <w:rPr>
                <w:noProof/>
                <w:webHidden/>
              </w:rPr>
              <w:instrText xml:space="preserve"> PAGEREF _Toc190941156 \h </w:instrText>
            </w:r>
            <w:r w:rsidR="006F2372">
              <w:rPr>
                <w:noProof/>
                <w:webHidden/>
              </w:rPr>
            </w:r>
            <w:r w:rsidR="006F2372">
              <w:rPr>
                <w:noProof/>
                <w:webHidden/>
              </w:rPr>
              <w:fldChar w:fldCharType="separate"/>
            </w:r>
            <w:r w:rsidR="002B78D8">
              <w:rPr>
                <w:noProof/>
                <w:webHidden/>
              </w:rPr>
              <w:t>4</w:t>
            </w:r>
            <w:r w:rsidR="006F2372">
              <w:rPr>
                <w:noProof/>
                <w:webHidden/>
              </w:rPr>
              <w:fldChar w:fldCharType="end"/>
            </w:r>
          </w:hyperlink>
        </w:p>
        <w:p w14:paraId="3877A303" w14:textId="70EE0D93" w:rsidR="006F2372" w:rsidRDefault="000B0A43">
          <w:pPr>
            <w:pStyle w:val="TOC2"/>
            <w:rPr>
              <w:rFonts w:eastAsiaTheme="minorEastAsia"/>
              <w:noProof/>
              <w:kern w:val="2"/>
              <w:sz w:val="24"/>
              <w:szCs w:val="24"/>
              <w:lang w:eastAsia="en-AU"/>
              <w14:ligatures w14:val="standardContextual"/>
            </w:rPr>
          </w:pPr>
          <w:hyperlink w:anchor="_Toc190941157" w:history="1">
            <w:r w:rsidR="006F2372" w:rsidRPr="00827DBA">
              <w:rPr>
                <w:rStyle w:val="Hyperlink"/>
                <w:noProof/>
                <w:lang w:val="en"/>
              </w:rPr>
              <w:t xml:space="preserve">F: Accurate, factual and </w:t>
            </w:r>
            <w:r w:rsidR="006F2372" w:rsidRPr="00827DBA">
              <w:rPr>
                <w:rStyle w:val="Hyperlink"/>
                <w:noProof/>
              </w:rPr>
              <w:t>complete</w:t>
            </w:r>
            <w:r w:rsidR="006F2372" w:rsidRPr="00827DBA">
              <w:rPr>
                <w:rStyle w:val="Hyperlink"/>
                <w:noProof/>
                <w:lang w:val="en"/>
              </w:rPr>
              <w:t xml:space="preserve"> information</w:t>
            </w:r>
            <w:r w:rsidR="006F2372">
              <w:rPr>
                <w:noProof/>
                <w:webHidden/>
              </w:rPr>
              <w:tab/>
            </w:r>
            <w:r w:rsidR="006F2372">
              <w:rPr>
                <w:noProof/>
                <w:webHidden/>
              </w:rPr>
              <w:fldChar w:fldCharType="begin"/>
            </w:r>
            <w:r w:rsidR="006F2372">
              <w:rPr>
                <w:noProof/>
                <w:webHidden/>
              </w:rPr>
              <w:instrText xml:space="preserve"> PAGEREF _Toc190941157 \h </w:instrText>
            </w:r>
            <w:r w:rsidR="006F2372">
              <w:rPr>
                <w:noProof/>
                <w:webHidden/>
              </w:rPr>
            </w:r>
            <w:r w:rsidR="006F2372">
              <w:rPr>
                <w:noProof/>
                <w:webHidden/>
              </w:rPr>
              <w:fldChar w:fldCharType="separate"/>
            </w:r>
            <w:r w:rsidR="002B78D8">
              <w:rPr>
                <w:noProof/>
                <w:webHidden/>
              </w:rPr>
              <w:t>5</w:t>
            </w:r>
            <w:r w:rsidR="006F2372">
              <w:rPr>
                <w:noProof/>
                <w:webHidden/>
              </w:rPr>
              <w:fldChar w:fldCharType="end"/>
            </w:r>
          </w:hyperlink>
        </w:p>
        <w:p w14:paraId="60B58174" w14:textId="44B6EB18" w:rsidR="006F2372" w:rsidRDefault="000B0A43">
          <w:pPr>
            <w:pStyle w:val="TOC2"/>
            <w:rPr>
              <w:rFonts w:eastAsiaTheme="minorEastAsia"/>
              <w:noProof/>
              <w:kern w:val="2"/>
              <w:sz w:val="24"/>
              <w:szCs w:val="24"/>
              <w:lang w:eastAsia="en-AU"/>
              <w14:ligatures w14:val="standardContextual"/>
            </w:rPr>
          </w:pPr>
          <w:hyperlink w:anchor="_Toc190941158" w:history="1">
            <w:r w:rsidR="006F2372" w:rsidRPr="00827DBA">
              <w:rPr>
                <w:rStyle w:val="Hyperlink"/>
                <w:noProof/>
                <w:lang w:val="en"/>
              </w:rPr>
              <w:t xml:space="preserve">G: Quality, depth and </w:t>
            </w:r>
            <w:r w:rsidR="006F2372" w:rsidRPr="00827DBA">
              <w:rPr>
                <w:rStyle w:val="Hyperlink"/>
                <w:noProof/>
              </w:rPr>
              <w:t>relevance</w:t>
            </w:r>
            <w:r w:rsidR="006F2372" w:rsidRPr="00827DBA">
              <w:rPr>
                <w:rStyle w:val="Hyperlink"/>
                <w:noProof/>
                <w:lang w:val="en"/>
              </w:rPr>
              <w:t xml:space="preserve"> of </w:t>
            </w:r>
            <w:r w:rsidR="006F2372" w:rsidRPr="00827DBA">
              <w:rPr>
                <w:rStyle w:val="Hyperlink"/>
                <w:noProof/>
              </w:rPr>
              <w:t>information</w:t>
            </w:r>
            <w:r w:rsidR="006F2372" w:rsidRPr="00827DBA">
              <w:rPr>
                <w:rStyle w:val="Hyperlink"/>
                <w:noProof/>
                <w:lang w:val="en"/>
              </w:rPr>
              <w:t xml:space="preserve"> and evidence provided</w:t>
            </w:r>
            <w:r w:rsidR="006F2372">
              <w:rPr>
                <w:noProof/>
                <w:webHidden/>
              </w:rPr>
              <w:tab/>
            </w:r>
            <w:r w:rsidR="006F2372">
              <w:rPr>
                <w:noProof/>
                <w:webHidden/>
              </w:rPr>
              <w:fldChar w:fldCharType="begin"/>
            </w:r>
            <w:r w:rsidR="006F2372">
              <w:rPr>
                <w:noProof/>
                <w:webHidden/>
              </w:rPr>
              <w:instrText xml:space="preserve"> PAGEREF _Toc190941158 \h </w:instrText>
            </w:r>
            <w:r w:rsidR="006F2372">
              <w:rPr>
                <w:noProof/>
                <w:webHidden/>
              </w:rPr>
            </w:r>
            <w:r w:rsidR="006F2372">
              <w:rPr>
                <w:noProof/>
                <w:webHidden/>
              </w:rPr>
              <w:fldChar w:fldCharType="separate"/>
            </w:r>
            <w:r w:rsidR="002B78D8">
              <w:rPr>
                <w:noProof/>
                <w:webHidden/>
              </w:rPr>
              <w:t>5</w:t>
            </w:r>
            <w:r w:rsidR="006F2372">
              <w:rPr>
                <w:noProof/>
                <w:webHidden/>
              </w:rPr>
              <w:fldChar w:fldCharType="end"/>
            </w:r>
          </w:hyperlink>
        </w:p>
        <w:p w14:paraId="2E343767" w14:textId="34E02FBA" w:rsidR="006F2372" w:rsidRDefault="000B0A43">
          <w:pPr>
            <w:pStyle w:val="TOC2"/>
            <w:rPr>
              <w:rFonts w:eastAsiaTheme="minorEastAsia"/>
              <w:noProof/>
              <w:kern w:val="2"/>
              <w:sz w:val="24"/>
              <w:szCs w:val="24"/>
              <w:lang w:eastAsia="en-AU"/>
              <w14:ligatures w14:val="standardContextual"/>
            </w:rPr>
          </w:pPr>
          <w:hyperlink w:anchor="_Toc190941159" w:history="1">
            <w:r w:rsidR="006F2372" w:rsidRPr="00827DBA">
              <w:rPr>
                <w:rStyle w:val="Hyperlink"/>
                <w:noProof/>
                <w:lang w:val="en"/>
              </w:rPr>
              <w:t xml:space="preserve">H: Reporting under tax </w:t>
            </w:r>
            <w:r w:rsidR="006F2372" w:rsidRPr="00827DBA">
              <w:rPr>
                <w:rStyle w:val="Hyperlink"/>
                <w:noProof/>
              </w:rPr>
              <w:t>conditions</w:t>
            </w:r>
            <w:r w:rsidR="006F2372">
              <w:rPr>
                <w:noProof/>
                <w:webHidden/>
              </w:rPr>
              <w:tab/>
            </w:r>
            <w:r w:rsidR="006F2372">
              <w:rPr>
                <w:noProof/>
                <w:webHidden/>
              </w:rPr>
              <w:fldChar w:fldCharType="begin"/>
            </w:r>
            <w:r w:rsidR="006F2372">
              <w:rPr>
                <w:noProof/>
                <w:webHidden/>
              </w:rPr>
              <w:instrText xml:space="preserve"> PAGEREF _Toc190941159 \h </w:instrText>
            </w:r>
            <w:r w:rsidR="006F2372">
              <w:rPr>
                <w:noProof/>
                <w:webHidden/>
              </w:rPr>
            </w:r>
            <w:r w:rsidR="006F2372">
              <w:rPr>
                <w:noProof/>
                <w:webHidden/>
              </w:rPr>
              <w:fldChar w:fldCharType="separate"/>
            </w:r>
            <w:r w:rsidR="002B78D8">
              <w:rPr>
                <w:noProof/>
                <w:webHidden/>
              </w:rPr>
              <w:t>5</w:t>
            </w:r>
            <w:r w:rsidR="006F2372">
              <w:rPr>
                <w:noProof/>
                <w:webHidden/>
              </w:rPr>
              <w:fldChar w:fldCharType="end"/>
            </w:r>
          </w:hyperlink>
        </w:p>
        <w:p w14:paraId="243E325A" w14:textId="19978688" w:rsidR="006F2372" w:rsidRDefault="000B0A43">
          <w:pPr>
            <w:pStyle w:val="TOC2"/>
            <w:rPr>
              <w:rFonts w:eastAsiaTheme="minorEastAsia"/>
              <w:noProof/>
              <w:kern w:val="2"/>
              <w:sz w:val="24"/>
              <w:szCs w:val="24"/>
              <w:lang w:eastAsia="en-AU"/>
              <w14:ligatures w14:val="standardContextual"/>
            </w:rPr>
          </w:pPr>
          <w:hyperlink w:anchor="_Toc190941160" w:history="1">
            <w:r w:rsidR="006F2372" w:rsidRPr="00827DBA">
              <w:rPr>
                <w:rStyle w:val="Hyperlink"/>
                <w:noProof/>
              </w:rPr>
              <w:t>I: Reporting on independent audit conditions</w:t>
            </w:r>
            <w:r w:rsidR="006F2372">
              <w:rPr>
                <w:noProof/>
                <w:webHidden/>
              </w:rPr>
              <w:tab/>
            </w:r>
            <w:r w:rsidR="006F2372">
              <w:rPr>
                <w:noProof/>
                <w:webHidden/>
              </w:rPr>
              <w:fldChar w:fldCharType="begin"/>
            </w:r>
            <w:r w:rsidR="006F2372">
              <w:rPr>
                <w:noProof/>
                <w:webHidden/>
              </w:rPr>
              <w:instrText xml:space="preserve"> PAGEREF _Toc190941160 \h </w:instrText>
            </w:r>
            <w:r w:rsidR="006F2372">
              <w:rPr>
                <w:noProof/>
                <w:webHidden/>
              </w:rPr>
            </w:r>
            <w:r w:rsidR="006F2372">
              <w:rPr>
                <w:noProof/>
                <w:webHidden/>
              </w:rPr>
              <w:fldChar w:fldCharType="separate"/>
            </w:r>
            <w:r w:rsidR="002B78D8">
              <w:rPr>
                <w:noProof/>
                <w:webHidden/>
              </w:rPr>
              <w:t>6</w:t>
            </w:r>
            <w:r w:rsidR="006F2372">
              <w:rPr>
                <w:noProof/>
                <w:webHidden/>
              </w:rPr>
              <w:fldChar w:fldCharType="end"/>
            </w:r>
          </w:hyperlink>
        </w:p>
        <w:p w14:paraId="011E6890" w14:textId="4E1FB4A3" w:rsidR="006F2372" w:rsidRDefault="000B0A43">
          <w:pPr>
            <w:pStyle w:val="TOC2"/>
            <w:rPr>
              <w:rFonts w:eastAsiaTheme="minorEastAsia"/>
              <w:noProof/>
              <w:kern w:val="2"/>
              <w:sz w:val="24"/>
              <w:szCs w:val="24"/>
              <w:lang w:eastAsia="en-AU"/>
              <w14:ligatures w14:val="standardContextual"/>
            </w:rPr>
          </w:pPr>
          <w:hyperlink w:anchor="_Toc190941161" w:history="1">
            <w:r w:rsidR="006F2372" w:rsidRPr="00827DBA">
              <w:rPr>
                <w:rStyle w:val="Hyperlink"/>
                <w:noProof/>
              </w:rPr>
              <w:t>Further information</w:t>
            </w:r>
            <w:r w:rsidR="006F2372">
              <w:rPr>
                <w:noProof/>
                <w:webHidden/>
              </w:rPr>
              <w:tab/>
            </w:r>
            <w:r w:rsidR="006F2372">
              <w:rPr>
                <w:noProof/>
                <w:webHidden/>
              </w:rPr>
              <w:fldChar w:fldCharType="begin"/>
            </w:r>
            <w:r w:rsidR="006F2372">
              <w:rPr>
                <w:noProof/>
                <w:webHidden/>
              </w:rPr>
              <w:instrText xml:space="preserve"> PAGEREF _Toc190941161 \h </w:instrText>
            </w:r>
            <w:r w:rsidR="006F2372">
              <w:rPr>
                <w:noProof/>
                <w:webHidden/>
              </w:rPr>
            </w:r>
            <w:r w:rsidR="006F2372">
              <w:rPr>
                <w:noProof/>
                <w:webHidden/>
              </w:rPr>
              <w:fldChar w:fldCharType="separate"/>
            </w:r>
            <w:r w:rsidR="002B78D8">
              <w:rPr>
                <w:noProof/>
                <w:webHidden/>
              </w:rPr>
              <w:t>8</w:t>
            </w:r>
            <w:r w:rsidR="006F2372">
              <w:rPr>
                <w:noProof/>
                <w:webHidden/>
              </w:rPr>
              <w:fldChar w:fldCharType="end"/>
            </w:r>
          </w:hyperlink>
        </w:p>
        <w:p w14:paraId="069E02D4" w14:textId="0AFD48FC" w:rsidR="006F2372" w:rsidRDefault="000B0A43">
          <w:pPr>
            <w:pStyle w:val="TOC2"/>
            <w:rPr>
              <w:rFonts w:eastAsiaTheme="minorEastAsia"/>
              <w:noProof/>
              <w:kern w:val="2"/>
              <w:sz w:val="24"/>
              <w:szCs w:val="24"/>
              <w:lang w:eastAsia="en-AU"/>
              <w14:ligatures w14:val="standardContextual"/>
            </w:rPr>
          </w:pPr>
          <w:hyperlink w:anchor="_Toc190941162" w:history="1">
            <w:r w:rsidR="006F2372" w:rsidRPr="00827DBA">
              <w:rPr>
                <w:rStyle w:val="Hyperlink"/>
                <w:noProof/>
                <w:lang w:val="en"/>
              </w:rPr>
              <w:t xml:space="preserve">Attachment A: </w:t>
            </w:r>
            <w:r w:rsidR="006F2372" w:rsidRPr="00827DBA">
              <w:rPr>
                <w:rStyle w:val="Hyperlink"/>
                <w:noProof/>
              </w:rPr>
              <w:t>Compliance</w:t>
            </w:r>
            <w:r w:rsidR="006F2372" w:rsidRPr="00827DBA">
              <w:rPr>
                <w:rStyle w:val="Hyperlink"/>
                <w:noProof/>
                <w:lang w:val="en"/>
              </w:rPr>
              <w:t xml:space="preserve"> report template on foreign investment conditions</w:t>
            </w:r>
            <w:r w:rsidR="006F2372">
              <w:rPr>
                <w:noProof/>
                <w:webHidden/>
              </w:rPr>
              <w:tab/>
            </w:r>
            <w:r w:rsidR="006F2372">
              <w:rPr>
                <w:noProof/>
                <w:webHidden/>
              </w:rPr>
              <w:fldChar w:fldCharType="begin"/>
            </w:r>
            <w:r w:rsidR="006F2372">
              <w:rPr>
                <w:noProof/>
                <w:webHidden/>
              </w:rPr>
              <w:instrText xml:space="preserve"> PAGEREF _Toc190941162 \h </w:instrText>
            </w:r>
            <w:r w:rsidR="006F2372">
              <w:rPr>
                <w:noProof/>
                <w:webHidden/>
              </w:rPr>
            </w:r>
            <w:r w:rsidR="006F2372">
              <w:rPr>
                <w:noProof/>
                <w:webHidden/>
              </w:rPr>
              <w:fldChar w:fldCharType="separate"/>
            </w:r>
            <w:r w:rsidR="002B78D8">
              <w:rPr>
                <w:noProof/>
                <w:webHidden/>
              </w:rPr>
              <w:t>9</w:t>
            </w:r>
            <w:r w:rsidR="006F2372">
              <w:rPr>
                <w:noProof/>
                <w:webHidden/>
              </w:rPr>
              <w:fldChar w:fldCharType="end"/>
            </w:r>
          </w:hyperlink>
        </w:p>
        <w:p w14:paraId="76DF406D" w14:textId="01FAE349" w:rsidR="006F2372" w:rsidRDefault="006F2372">
          <w:pPr>
            <w:pStyle w:val="TOC2"/>
            <w:rPr>
              <w:rFonts w:eastAsiaTheme="minorEastAsia"/>
              <w:noProof/>
              <w:kern w:val="2"/>
              <w:sz w:val="24"/>
              <w:szCs w:val="24"/>
              <w:lang w:eastAsia="en-AU"/>
              <w14:ligatures w14:val="standardContextual"/>
            </w:rPr>
          </w:pPr>
        </w:p>
        <w:p w14:paraId="15C5DC78" w14:textId="0A5DEC4E" w:rsidR="004B1102" w:rsidRPr="007441A6" w:rsidRDefault="004B1102" w:rsidP="006A143D">
          <w:pPr>
            <w:outlineLvl w:val="1"/>
            <w:rPr>
              <w:rFonts w:cs="Calibri Light"/>
            </w:rPr>
          </w:pPr>
          <w:r w:rsidRPr="00B80B4A">
            <w:rPr>
              <w:rFonts w:eastAsiaTheme="minorHAnsi" w:cs="Calibri Light"/>
              <w:szCs w:val="22"/>
              <w:lang w:eastAsia="en-US"/>
            </w:rPr>
            <w:fldChar w:fldCharType="end"/>
          </w:r>
        </w:p>
      </w:sdtContent>
    </w:sdt>
    <w:p w14:paraId="62A7B60B" w14:textId="77777777" w:rsidR="004B1102" w:rsidRPr="00812BB7" w:rsidRDefault="004B1102" w:rsidP="00294D1D">
      <w:pPr>
        <w:spacing w:after="0"/>
        <w:rPr>
          <w:b/>
          <w:color w:val="2C384A" w:themeColor="accent1"/>
          <w:u w:val="single"/>
        </w:rPr>
      </w:pPr>
      <w:r w:rsidRPr="00812BB7">
        <w:rPr>
          <w:b/>
          <w:color w:val="2C384A" w:themeColor="accent1"/>
          <w:u w:val="single"/>
        </w:rPr>
        <w:br w:type="page"/>
      </w:r>
    </w:p>
    <w:p w14:paraId="56FFA4A7" w14:textId="77777777" w:rsidR="004B1102" w:rsidRPr="00812BB7" w:rsidRDefault="004B1102" w:rsidP="00294D1D">
      <w:pPr>
        <w:pStyle w:val="Heading2"/>
        <w:rPr>
          <w:lang w:val="en"/>
        </w:rPr>
      </w:pPr>
      <w:bookmarkStart w:id="1" w:name="_Toc190941152"/>
      <w:r w:rsidRPr="00812BB7">
        <w:lastRenderedPageBreak/>
        <w:t xml:space="preserve">A: </w:t>
      </w:r>
      <w:r w:rsidRPr="00812BB7">
        <w:rPr>
          <w:lang w:val="en"/>
        </w:rPr>
        <w:t>Why do you need to report on your compliance?</w:t>
      </w:r>
      <w:bookmarkEnd w:id="1"/>
    </w:p>
    <w:p w14:paraId="285C80A6" w14:textId="38A433F8" w:rsidR="004B1102" w:rsidRPr="00812BB7" w:rsidRDefault="004B1102" w:rsidP="232C6DD0">
      <w:pPr>
        <w:rPr>
          <w:lang w:val="en-US"/>
        </w:rPr>
      </w:pPr>
      <w:r w:rsidRPr="232C6DD0">
        <w:rPr>
          <w:lang w:val="en-US"/>
        </w:rPr>
        <w:t>Reporting by foreign investors provides Treasury with the information it requires for monitoring investors</w:t>
      </w:r>
      <w:r w:rsidR="00294D1D" w:rsidRPr="232C6DD0">
        <w:rPr>
          <w:lang w:val="en-US"/>
        </w:rPr>
        <w:t>’</w:t>
      </w:r>
      <w:r w:rsidRPr="232C6DD0">
        <w:rPr>
          <w:lang w:val="en-US"/>
        </w:rPr>
        <w:t xml:space="preserve"> compliance with the conditions of their foreign investment approvals and for targeting its compliance activities as necessary. It provides an avenue for foreign investors to continuously engage with Treasury on compliance issues, including potential instances of </w:t>
      </w:r>
      <w:proofErr w:type="spellStart"/>
      <w:r w:rsidRPr="232C6DD0">
        <w:rPr>
          <w:lang w:val="en-US"/>
        </w:rPr>
        <w:t>non</w:t>
      </w:r>
      <w:r w:rsidR="00294D1D">
        <w:rPr>
          <w:lang w:val="en"/>
        </w:rPr>
        <w:noBreakHyphen/>
      </w:r>
      <w:r w:rsidRPr="232C6DD0">
        <w:rPr>
          <w:lang w:val="en-US"/>
        </w:rPr>
        <w:t>compliance</w:t>
      </w:r>
      <w:proofErr w:type="spellEnd"/>
      <w:r w:rsidR="00727B46" w:rsidRPr="7822B11B">
        <w:rPr>
          <w:lang w:val="en-US"/>
        </w:rPr>
        <w:t xml:space="preserve"> and remediation activities</w:t>
      </w:r>
      <w:r w:rsidRPr="232C6DD0">
        <w:rPr>
          <w:lang w:val="en-US"/>
        </w:rPr>
        <w:t>.</w:t>
      </w:r>
      <w:r w:rsidR="00BD6353" w:rsidRPr="7822B11B">
        <w:rPr>
          <w:lang w:val="en-US"/>
        </w:rPr>
        <w:t xml:space="preserve"> </w:t>
      </w:r>
      <w:r w:rsidR="0051436A">
        <w:rPr>
          <w:lang w:val="en-US"/>
        </w:rPr>
        <w:t>Reporting is an important part of</w:t>
      </w:r>
      <w:r w:rsidR="00911EB9" w:rsidRPr="7822B11B">
        <w:rPr>
          <w:lang w:val="en-US"/>
        </w:rPr>
        <w:t xml:space="preserve"> Treasury’s monitoring, audit and investigation activities,</w:t>
      </w:r>
      <w:r w:rsidR="00AC09D9" w:rsidRPr="7822B11B">
        <w:rPr>
          <w:lang w:val="en-US"/>
        </w:rPr>
        <w:t xml:space="preserve"> both</w:t>
      </w:r>
      <w:r w:rsidR="00911EB9" w:rsidRPr="7822B11B">
        <w:rPr>
          <w:lang w:val="en-US"/>
        </w:rPr>
        <w:t xml:space="preserve"> </w:t>
      </w:r>
      <w:r w:rsidR="00E16720" w:rsidRPr="7822B11B">
        <w:rPr>
          <w:lang w:val="en-US"/>
        </w:rPr>
        <w:t xml:space="preserve">in relation to non-compliance </w:t>
      </w:r>
      <w:r w:rsidR="004078DE" w:rsidRPr="7822B11B">
        <w:rPr>
          <w:lang w:val="en-US"/>
        </w:rPr>
        <w:t xml:space="preserve">disclosed in a report </w:t>
      </w:r>
      <w:r w:rsidR="0088233B" w:rsidRPr="7822B11B">
        <w:rPr>
          <w:lang w:val="en-US"/>
        </w:rPr>
        <w:t>and</w:t>
      </w:r>
      <w:r w:rsidR="00CA227C" w:rsidRPr="7822B11B">
        <w:rPr>
          <w:lang w:val="en-US"/>
        </w:rPr>
        <w:t xml:space="preserve"> </w:t>
      </w:r>
      <w:r w:rsidR="00A92495">
        <w:rPr>
          <w:lang w:val="en-US"/>
        </w:rPr>
        <w:t xml:space="preserve">assessing </w:t>
      </w:r>
      <w:r w:rsidR="00B05274" w:rsidRPr="7822B11B">
        <w:rPr>
          <w:lang w:val="en-US"/>
        </w:rPr>
        <w:t>the veracity of</w:t>
      </w:r>
      <w:r w:rsidR="00C77D47" w:rsidRPr="7822B11B">
        <w:rPr>
          <w:lang w:val="en-US"/>
        </w:rPr>
        <w:t xml:space="preserve"> </w:t>
      </w:r>
      <w:r w:rsidR="00A521AA" w:rsidRPr="7822B11B">
        <w:rPr>
          <w:lang w:val="en-US"/>
        </w:rPr>
        <w:t>reports</w:t>
      </w:r>
      <w:r w:rsidR="2CC01374" w:rsidRPr="7822B11B">
        <w:rPr>
          <w:lang w:val="en-US"/>
        </w:rPr>
        <w:t xml:space="preserve"> </w:t>
      </w:r>
      <w:r w:rsidR="00911E6B">
        <w:rPr>
          <w:lang w:val="en-US"/>
        </w:rPr>
        <w:t>that</w:t>
      </w:r>
      <w:r w:rsidR="2CC01374" w:rsidRPr="7822B11B">
        <w:rPr>
          <w:lang w:val="en-US"/>
        </w:rPr>
        <w:t xml:space="preserve"> </w:t>
      </w:r>
      <w:r w:rsidR="00A521AA" w:rsidRPr="7822B11B">
        <w:rPr>
          <w:lang w:val="en-US"/>
        </w:rPr>
        <w:t>attest</w:t>
      </w:r>
      <w:r w:rsidR="74BCEFE4" w:rsidRPr="7822B11B">
        <w:rPr>
          <w:lang w:val="en-US"/>
        </w:rPr>
        <w:t xml:space="preserve"> </w:t>
      </w:r>
      <w:r w:rsidR="00A521AA" w:rsidRPr="7822B11B">
        <w:rPr>
          <w:lang w:val="en-US"/>
        </w:rPr>
        <w:t>to be fully compliant</w:t>
      </w:r>
      <w:r w:rsidR="007E4A17" w:rsidRPr="7822B11B">
        <w:rPr>
          <w:lang w:val="en-US"/>
        </w:rPr>
        <w:t xml:space="preserve">. </w:t>
      </w:r>
    </w:p>
    <w:p w14:paraId="7FC01BF2" w14:textId="77777777" w:rsidR="004B1102" w:rsidRPr="00812BB7" w:rsidRDefault="004B1102" w:rsidP="00294D1D">
      <w:pPr>
        <w:pStyle w:val="Heading2"/>
        <w:rPr>
          <w:lang w:val="en"/>
        </w:rPr>
      </w:pPr>
      <w:bookmarkStart w:id="2" w:name="_Toc190941153"/>
      <w:r w:rsidRPr="00812BB7">
        <w:t xml:space="preserve">B: </w:t>
      </w:r>
      <w:r w:rsidRPr="00812BB7">
        <w:rPr>
          <w:lang w:val="en"/>
        </w:rPr>
        <w:t xml:space="preserve">Types of </w:t>
      </w:r>
      <w:r w:rsidRPr="00812BB7">
        <w:t>compliance</w:t>
      </w:r>
      <w:r w:rsidRPr="00812BB7">
        <w:rPr>
          <w:lang w:val="en"/>
        </w:rPr>
        <w:t xml:space="preserve"> </w:t>
      </w:r>
      <w:r w:rsidRPr="00812BB7">
        <w:t>reports</w:t>
      </w:r>
      <w:bookmarkEnd w:id="2"/>
    </w:p>
    <w:p w14:paraId="07FD033C" w14:textId="6A29B4FE" w:rsidR="004B1102" w:rsidRPr="00812BB7" w:rsidRDefault="004B1102" w:rsidP="232C6DD0">
      <w:pPr>
        <w:rPr>
          <w:lang w:val="en-US"/>
        </w:rPr>
      </w:pPr>
      <w:r w:rsidRPr="45E5AB55">
        <w:rPr>
          <w:lang w:val="en-US"/>
        </w:rPr>
        <w:t xml:space="preserve">Whilst a foreign investor should rely on the specific reporting obligations set out in the relevant no objection notification or exemption certificate, the list below </w:t>
      </w:r>
      <w:r w:rsidR="7AAD0F9F" w:rsidRPr="45E5AB55">
        <w:rPr>
          <w:lang w:val="en-US"/>
        </w:rPr>
        <w:t xml:space="preserve">provides </w:t>
      </w:r>
      <w:r w:rsidRPr="45E5AB55">
        <w:rPr>
          <w:lang w:val="en-US"/>
        </w:rPr>
        <w:t xml:space="preserve">several of the categories </w:t>
      </w:r>
      <w:r w:rsidR="04EC6001" w:rsidRPr="45E5AB55">
        <w:rPr>
          <w:lang w:val="en-US"/>
        </w:rPr>
        <w:t xml:space="preserve">of </w:t>
      </w:r>
      <w:r w:rsidRPr="45E5AB55">
        <w:rPr>
          <w:lang w:val="en-US"/>
        </w:rPr>
        <w:t>report</w:t>
      </w:r>
      <w:r w:rsidR="3181D362" w:rsidRPr="45E5AB55">
        <w:rPr>
          <w:lang w:val="en-US"/>
        </w:rPr>
        <w:t>ing obligations</w:t>
      </w:r>
      <w:r w:rsidRPr="45E5AB55">
        <w:rPr>
          <w:lang w:val="en-US"/>
        </w:rPr>
        <w:t>:</w:t>
      </w:r>
    </w:p>
    <w:p w14:paraId="1071D311" w14:textId="77777777" w:rsidR="004B1102" w:rsidRPr="00812BB7" w:rsidRDefault="004B1102" w:rsidP="008924B1">
      <w:pPr>
        <w:pStyle w:val="Bullet"/>
        <w:rPr>
          <w:lang w:val="en"/>
        </w:rPr>
      </w:pPr>
      <w:r w:rsidRPr="00812BB7">
        <w:rPr>
          <w:lang w:val="en"/>
        </w:rPr>
        <w:t xml:space="preserve">Notifications about when proposed actions or </w:t>
      </w:r>
      <w:r w:rsidRPr="008924B1">
        <w:t>transactions</w:t>
      </w:r>
      <w:r w:rsidRPr="00812BB7">
        <w:rPr>
          <w:lang w:val="en"/>
        </w:rPr>
        <w:t xml:space="preserve"> occur.</w:t>
      </w:r>
    </w:p>
    <w:p w14:paraId="79BAE47A" w14:textId="77777777" w:rsidR="004B1102" w:rsidRPr="00812BB7" w:rsidRDefault="004B1102" w:rsidP="008924B1">
      <w:pPr>
        <w:pStyle w:val="Bullet"/>
        <w:rPr>
          <w:lang w:val="en"/>
        </w:rPr>
      </w:pPr>
      <w:r w:rsidRPr="00812BB7">
        <w:rPr>
          <w:lang w:val="en"/>
        </w:rPr>
        <w:t xml:space="preserve">Reporting on acquisitions made under an exemption </w:t>
      </w:r>
      <w:r w:rsidRPr="008924B1">
        <w:t>certificate</w:t>
      </w:r>
      <w:r w:rsidRPr="00812BB7">
        <w:rPr>
          <w:rStyle w:val="FootnoteReference"/>
          <w:color w:val="212529"/>
          <w:lang w:val="en"/>
        </w:rPr>
        <w:footnoteReference w:id="2"/>
      </w:r>
      <w:r>
        <w:rPr>
          <w:lang w:val="en"/>
        </w:rPr>
        <w:t>.</w:t>
      </w:r>
    </w:p>
    <w:p w14:paraId="11DC0A18" w14:textId="77777777" w:rsidR="004B1102" w:rsidRPr="00812BB7" w:rsidRDefault="004B1102" w:rsidP="008924B1">
      <w:pPr>
        <w:pStyle w:val="Bullet"/>
        <w:rPr>
          <w:lang w:val="en"/>
        </w:rPr>
      </w:pPr>
      <w:r w:rsidRPr="00812BB7">
        <w:rPr>
          <w:lang w:val="en"/>
        </w:rPr>
        <w:t xml:space="preserve">Periodic reporting on compliance with tax and other </w:t>
      </w:r>
      <w:r w:rsidRPr="008924B1">
        <w:t>conditions</w:t>
      </w:r>
      <w:r w:rsidRPr="00812BB7">
        <w:rPr>
          <w:lang w:val="en"/>
        </w:rPr>
        <w:t>.</w:t>
      </w:r>
    </w:p>
    <w:p w14:paraId="417BF23E" w14:textId="77777777" w:rsidR="004B1102" w:rsidRPr="00812BB7" w:rsidRDefault="004B1102" w:rsidP="008924B1">
      <w:pPr>
        <w:pStyle w:val="Bullet"/>
        <w:rPr>
          <w:lang w:val="en"/>
        </w:rPr>
      </w:pPr>
      <w:r w:rsidRPr="00812BB7">
        <w:rPr>
          <w:lang w:val="en"/>
        </w:rPr>
        <w:t xml:space="preserve">Reporting on breaches of </w:t>
      </w:r>
      <w:r w:rsidRPr="008924B1">
        <w:t>conditions</w:t>
      </w:r>
      <w:r w:rsidRPr="00812BB7">
        <w:rPr>
          <w:lang w:val="en"/>
        </w:rPr>
        <w:t>.</w:t>
      </w:r>
    </w:p>
    <w:p w14:paraId="4B08FEDA" w14:textId="77777777" w:rsidR="004B1102" w:rsidRPr="00812BB7" w:rsidRDefault="004B1102" w:rsidP="008924B1">
      <w:pPr>
        <w:pStyle w:val="Bullet"/>
        <w:rPr>
          <w:lang w:val="en"/>
        </w:rPr>
      </w:pPr>
      <w:r w:rsidRPr="00812BB7">
        <w:rPr>
          <w:lang w:val="en"/>
        </w:rPr>
        <w:t xml:space="preserve">Reporting on remedial actions where a </w:t>
      </w:r>
      <w:r w:rsidRPr="008924B1">
        <w:t>compliance</w:t>
      </w:r>
      <w:r w:rsidRPr="00812BB7">
        <w:rPr>
          <w:lang w:val="en"/>
        </w:rPr>
        <w:t xml:space="preserve"> issue has arisen.</w:t>
      </w:r>
    </w:p>
    <w:p w14:paraId="3325D23B" w14:textId="775969E3" w:rsidR="004B1102" w:rsidRPr="00812BB7" w:rsidRDefault="004B1102" w:rsidP="232C6DD0">
      <w:pPr>
        <w:rPr>
          <w:lang w:val="en-US"/>
        </w:rPr>
      </w:pPr>
      <w:r w:rsidRPr="7506519D">
        <w:rPr>
          <w:lang w:val="en-US"/>
        </w:rPr>
        <w:t>This is not an exhaustive list, and in some cases, conditions may require a foreign investor to provide a bespoke report. Each type of report requires a different set of information, and a foreign investor may be required to submit more than one type of report for the same investment. </w:t>
      </w:r>
      <w:r w:rsidR="00177AEC" w:rsidRPr="7506519D">
        <w:rPr>
          <w:lang w:val="en-US"/>
        </w:rPr>
        <w:t>Foreign investors should review all requirements in a no objection notification or exemption certificate to ensure that they comply with the requirement</w:t>
      </w:r>
      <w:r w:rsidR="00F45A83">
        <w:rPr>
          <w:lang w:val="en-US"/>
        </w:rPr>
        <w:t>s.</w:t>
      </w:r>
    </w:p>
    <w:p w14:paraId="4CFEDD87" w14:textId="77777777" w:rsidR="004B1102" w:rsidRPr="00812BB7" w:rsidRDefault="004B1102" w:rsidP="00294D1D">
      <w:pPr>
        <w:pStyle w:val="Heading2"/>
        <w:rPr>
          <w:lang w:val="en"/>
        </w:rPr>
      </w:pPr>
      <w:bookmarkStart w:id="3" w:name="_Toc190941154"/>
      <w:r w:rsidRPr="00812BB7">
        <w:t xml:space="preserve">C: </w:t>
      </w:r>
      <w:r w:rsidRPr="00812BB7">
        <w:rPr>
          <w:lang w:val="en"/>
        </w:rPr>
        <w:t xml:space="preserve">How should a </w:t>
      </w:r>
      <w:r w:rsidRPr="00812BB7">
        <w:t>compliance</w:t>
      </w:r>
      <w:r w:rsidRPr="00812BB7">
        <w:rPr>
          <w:lang w:val="en"/>
        </w:rPr>
        <w:t xml:space="preserve"> report be </w:t>
      </w:r>
      <w:r w:rsidRPr="00812BB7">
        <w:t>prepared</w:t>
      </w:r>
      <w:r w:rsidRPr="00812BB7">
        <w:rPr>
          <w:lang w:val="en"/>
        </w:rPr>
        <w:t>?</w:t>
      </w:r>
      <w:bookmarkEnd w:id="3"/>
    </w:p>
    <w:p w14:paraId="68855171" w14:textId="77777777" w:rsidR="004B1102" w:rsidRPr="00812BB7" w:rsidRDefault="004B1102" w:rsidP="232C6DD0">
      <w:pPr>
        <w:rPr>
          <w:lang w:val="en-US"/>
        </w:rPr>
      </w:pPr>
      <w:r w:rsidRPr="232C6DD0">
        <w:rPr>
          <w:lang w:val="en-US"/>
        </w:rPr>
        <w:t>A report should be prepared in accordance with the conditions set out in the relevant no objection notification or exemption certificate (including those that have been subject to a variation).</w:t>
      </w:r>
    </w:p>
    <w:p w14:paraId="5D924E3D" w14:textId="528954A4" w:rsidR="004B1102" w:rsidRPr="00812BB7" w:rsidRDefault="004B1102" w:rsidP="00294D1D">
      <w:pPr>
        <w:rPr>
          <w:lang w:val="en"/>
        </w:rPr>
      </w:pPr>
      <w:r w:rsidRPr="00812BB7">
        <w:rPr>
          <w:lang w:val="en"/>
        </w:rPr>
        <w:t xml:space="preserve">Each type of report requires different information to be included, and there is no prescribed form or template for most reports unless otherwise provided in the condition. </w:t>
      </w:r>
    </w:p>
    <w:p w14:paraId="50D07378" w14:textId="78635092" w:rsidR="004B1102" w:rsidRPr="00812BB7" w:rsidRDefault="004B1102" w:rsidP="00294D1D">
      <w:pPr>
        <w:rPr>
          <w:lang w:val="en"/>
        </w:rPr>
      </w:pPr>
      <w:r w:rsidRPr="00812BB7">
        <w:rPr>
          <w:lang w:val="en"/>
        </w:rPr>
        <w:t xml:space="preserve">The Commonwealth is likely to consider the following factors in considering whether reports that have been prepared fulfil the relevant </w:t>
      </w:r>
      <w:hyperlink r:id="rId12" w:history="1">
        <w:r w:rsidRPr="00D50FAA">
          <w:rPr>
            <w:rStyle w:val="Hyperlink"/>
            <w:lang w:val="en"/>
          </w:rPr>
          <w:t>conditions:</w:t>
        </w:r>
      </w:hyperlink>
    </w:p>
    <w:p w14:paraId="67EA9F5A" w14:textId="77777777" w:rsidR="004B1102" w:rsidRPr="00812BB7" w:rsidRDefault="004B1102" w:rsidP="008924B1">
      <w:pPr>
        <w:pStyle w:val="Bullet"/>
        <w:rPr>
          <w:lang w:val="en"/>
        </w:rPr>
      </w:pPr>
      <w:r w:rsidRPr="00812BB7">
        <w:rPr>
          <w:lang w:val="en"/>
        </w:rPr>
        <w:t>Timeliness including with reference to tax reporting dates and accounting periods.</w:t>
      </w:r>
    </w:p>
    <w:p w14:paraId="2EF03AF4" w14:textId="77777777" w:rsidR="004B1102" w:rsidRPr="00812BB7" w:rsidRDefault="004B1102" w:rsidP="008924B1">
      <w:pPr>
        <w:pStyle w:val="Bullet"/>
        <w:rPr>
          <w:lang w:val="en"/>
        </w:rPr>
      </w:pPr>
      <w:r w:rsidRPr="00812BB7">
        <w:rPr>
          <w:lang w:val="en"/>
        </w:rPr>
        <w:t xml:space="preserve">Who prepares and signs off on the report, and their role(s) in </w:t>
      </w:r>
      <w:r w:rsidRPr="008924B1">
        <w:t>relation</w:t>
      </w:r>
      <w:r w:rsidRPr="00812BB7">
        <w:rPr>
          <w:lang w:val="en"/>
        </w:rPr>
        <w:t xml:space="preserve"> to the foreign investor (for example, CEO or </w:t>
      </w:r>
      <w:proofErr w:type="gramStart"/>
      <w:r w:rsidRPr="00812BB7">
        <w:rPr>
          <w:lang w:val="en"/>
        </w:rPr>
        <w:t>other</w:t>
      </w:r>
      <w:proofErr w:type="gramEnd"/>
      <w:r w:rsidRPr="00812BB7">
        <w:rPr>
          <w:lang w:val="en"/>
        </w:rPr>
        <w:t xml:space="preserve"> officer of the investor, or Commonwealth approved independent auditor).</w:t>
      </w:r>
    </w:p>
    <w:p w14:paraId="511274C3" w14:textId="5F50329C" w:rsidR="004B1102" w:rsidRPr="00812BB7" w:rsidRDefault="004B1102" w:rsidP="008924B1">
      <w:pPr>
        <w:pStyle w:val="Bullet"/>
        <w:rPr>
          <w:lang w:val="en"/>
        </w:rPr>
      </w:pPr>
      <w:r w:rsidRPr="00812BB7">
        <w:rPr>
          <w:lang w:val="en"/>
        </w:rPr>
        <w:lastRenderedPageBreak/>
        <w:t xml:space="preserve">Accurate, factual and </w:t>
      </w:r>
      <w:r w:rsidRPr="008924B1">
        <w:t>complete</w:t>
      </w:r>
      <w:r w:rsidRPr="00812BB7">
        <w:rPr>
          <w:lang w:val="en"/>
        </w:rPr>
        <w:t xml:space="preserve"> information.</w:t>
      </w:r>
      <w:r w:rsidR="00005B2C">
        <w:rPr>
          <w:lang w:val="en"/>
        </w:rPr>
        <w:t xml:space="preserve"> </w:t>
      </w:r>
      <w:r w:rsidR="00DD290A">
        <w:rPr>
          <w:lang w:val="en"/>
        </w:rPr>
        <w:t>T</w:t>
      </w:r>
      <w:r w:rsidR="00A80E98">
        <w:rPr>
          <w:lang w:val="en"/>
        </w:rPr>
        <w:t>reasury may</w:t>
      </w:r>
      <w:r w:rsidR="0089614F">
        <w:rPr>
          <w:lang w:val="en"/>
        </w:rPr>
        <w:t>, by way of written notice, r</w:t>
      </w:r>
      <w:r w:rsidR="00311434">
        <w:rPr>
          <w:lang w:val="en"/>
        </w:rPr>
        <w:t>equir</w:t>
      </w:r>
      <w:r w:rsidR="0089614F">
        <w:rPr>
          <w:lang w:val="en"/>
        </w:rPr>
        <w:t xml:space="preserve">e </w:t>
      </w:r>
      <w:r w:rsidR="00311434">
        <w:rPr>
          <w:lang w:val="en"/>
        </w:rPr>
        <w:t>a f</w:t>
      </w:r>
      <w:r w:rsidR="00005B2C">
        <w:rPr>
          <w:lang w:val="en"/>
        </w:rPr>
        <w:t xml:space="preserve">oreign investor to provide information and </w:t>
      </w:r>
      <w:r w:rsidR="00311434">
        <w:rPr>
          <w:lang w:val="en"/>
        </w:rPr>
        <w:t>documents</w:t>
      </w:r>
      <w:r w:rsidR="00005B2C">
        <w:rPr>
          <w:lang w:val="en"/>
        </w:rPr>
        <w:t xml:space="preserve"> to demonstrate how they have complied with their conditions, including enquiries made </w:t>
      </w:r>
      <w:r w:rsidR="006C5B1F">
        <w:rPr>
          <w:lang w:val="en"/>
        </w:rPr>
        <w:t xml:space="preserve">and </w:t>
      </w:r>
      <w:r w:rsidR="00FE44B1">
        <w:rPr>
          <w:lang w:val="en"/>
        </w:rPr>
        <w:t xml:space="preserve">evidence to inform their </w:t>
      </w:r>
      <w:r w:rsidR="0089614F">
        <w:rPr>
          <w:lang w:val="en"/>
        </w:rPr>
        <w:t>compliance report</w:t>
      </w:r>
      <w:r w:rsidR="00FE44B1">
        <w:rPr>
          <w:lang w:val="en"/>
        </w:rPr>
        <w:t>ing</w:t>
      </w:r>
      <w:r w:rsidR="0089614F">
        <w:rPr>
          <w:lang w:val="en"/>
        </w:rPr>
        <w:t xml:space="preserve">. </w:t>
      </w:r>
      <w:r w:rsidR="00005B2C">
        <w:rPr>
          <w:lang w:val="en"/>
        </w:rPr>
        <w:t xml:space="preserve"> </w:t>
      </w:r>
    </w:p>
    <w:p w14:paraId="4C1639AD" w14:textId="77777777" w:rsidR="004B1102" w:rsidRPr="00812BB7" w:rsidRDefault="004B1102" w:rsidP="008924B1">
      <w:pPr>
        <w:pStyle w:val="Bullet"/>
        <w:rPr>
          <w:lang w:val="en"/>
        </w:rPr>
      </w:pPr>
      <w:r w:rsidRPr="00812BB7">
        <w:rPr>
          <w:lang w:val="en"/>
        </w:rPr>
        <w:t xml:space="preserve">Quality, depth and relevance of information and evidence </w:t>
      </w:r>
      <w:r w:rsidRPr="008924B1">
        <w:t>provided</w:t>
      </w:r>
      <w:r w:rsidRPr="00812BB7">
        <w:rPr>
          <w:lang w:val="en"/>
        </w:rPr>
        <w:t>.</w:t>
      </w:r>
    </w:p>
    <w:p w14:paraId="0BAF7DB7" w14:textId="77777777" w:rsidR="004B1102" w:rsidRPr="00812BB7" w:rsidRDefault="004B1102" w:rsidP="00294D1D">
      <w:pPr>
        <w:pStyle w:val="Heading2"/>
        <w:rPr>
          <w:lang w:val="en"/>
        </w:rPr>
      </w:pPr>
      <w:bookmarkStart w:id="4" w:name="_Toc190941155"/>
      <w:r w:rsidRPr="00812BB7">
        <w:t>D: Timeliness</w:t>
      </w:r>
      <w:bookmarkEnd w:id="4"/>
    </w:p>
    <w:p w14:paraId="66767D1E" w14:textId="4DCE27F4" w:rsidR="004B1102" w:rsidRPr="00812BB7" w:rsidRDefault="004B1102" w:rsidP="00294D1D">
      <w:pPr>
        <w:rPr>
          <w:lang w:val="en"/>
        </w:rPr>
      </w:pPr>
      <w:r w:rsidRPr="00812BB7">
        <w:rPr>
          <w:lang w:val="en"/>
        </w:rPr>
        <w:t xml:space="preserve">Reports, including notifications of acquisitions, should be submitted by the date </w:t>
      </w:r>
      <w:r w:rsidR="00F8539A" w:rsidRPr="67C8B2F5">
        <w:rPr>
          <w:lang w:val="en"/>
        </w:rPr>
        <w:t xml:space="preserve">specified in the </w:t>
      </w:r>
      <w:r w:rsidR="00F37B1E" w:rsidRPr="67C8B2F5">
        <w:rPr>
          <w:lang w:val="en"/>
        </w:rPr>
        <w:t xml:space="preserve">conditions </w:t>
      </w:r>
      <w:r w:rsidRPr="00812BB7">
        <w:rPr>
          <w:lang w:val="en"/>
        </w:rPr>
        <w:t xml:space="preserve">and </w:t>
      </w:r>
      <w:r w:rsidR="00082EE6">
        <w:rPr>
          <w:lang w:val="en"/>
        </w:rPr>
        <w:t>through</w:t>
      </w:r>
      <w:r w:rsidRPr="00812BB7">
        <w:rPr>
          <w:lang w:val="en"/>
        </w:rPr>
        <w:t xml:space="preserve"> the </w:t>
      </w:r>
      <w:r w:rsidR="007A7850" w:rsidRPr="67C8B2F5">
        <w:rPr>
          <w:lang w:val="en"/>
        </w:rPr>
        <w:t>Foreign Investment Portal</w:t>
      </w:r>
      <w:r w:rsidR="00A668C0">
        <w:rPr>
          <w:lang w:val="en"/>
        </w:rPr>
        <w:t xml:space="preserve">. </w:t>
      </w:r>
      <w:r w:rsidR="007C6BEC" w:rsidRPr="007C6BEC">
        <w:rPr>
          <w:lang w:val="en"/>
        </w:rPr>
        <w:t xml:space="preserve">Foreign investors should note that this requirement applies to </w:t>
      </w:r>
      <w:r w:rsidR="006A6CF4" w:rsidRPr="67C8B2F5">
        <w:rPr>
          <w:lang w:val="en"/>
        </w:rPr>
        <w:t xml:space="preserve">conditions that specify that reports should be submitted </w:t>
      </w:r>
      <w:r w:rsidR="00363C02">
        <w:rPr>
          <w:lang w:val="en"/>
        </w:rPr>
        <w:t>through</w:t>
      </w:r>
      <w:r w:rsidR="006A6CF4" w:rsidRPr="67C8B2F5">
        <w:rPr>
          <w:lang w:val="en"/>
        </w:rPr>
        <w:t xml:space="preserve"> email</w:t>
      </w:r>
      <w:r w:rsidR="007F3A63">
        <w:rPr>
          <w:lang w:val="en"/>
        </w:rPr>
        <w:t>–</w:t>
      </w:r>
      <w:r w:rsidR="006A6CF4" w:rsidRPr="67C8B2F5">
        <w:rPr>
          <w:lang w:val="en"/>
        </w:rPr>
        <w:t xml:space="preserve"> </w:t>
      </w:r>
      <w:r w:rsidR="00430641" w:rsidRPr="67C8B2F5">
        <w:rPr>
          <w:lang w:val="en"/>
        </w:rPr>
        <w:t xml:space="preserve">the </w:t>
      </w:r>
      <w:r w:rsidR="00202D25" w:rsidRPr="67C8B2F5">
        <w:rPr>
          <w:lang w:val="en"/>
        </w:rPr>
        <w:t xml:space="preserve">new </w:t>
      </w:r>
      <w:r w:rsidR="00430641" w:rsidRPr="67C8B2F5">
        <w:rPr>
          <w:lang w:val="en"/>
        </w:rPr>
        <w:t>Foreign Investment Portal has r</w:t>
      </w:r>
      <w:r w:rsidR="00BA0CBC" w:rsidRPr="67C8B2F5">
        <w:rPr>
          <w:lang w:val="en"/>
        </w:rPr>
        <w:t xml:space="preserve">eplaced the email </w:t>
      </w:r>
      <w:r w:rsidRPr="00812BB7">
        <w:rPr>
          <w:lang w:val="en"/>
        </w:rPr>
        <w:t xml:space="preserve">mechanism. If the conditions are silent on the mechanism to submit the report, please </w:t>
      </w:r>
      <w:r w:rsidR="00F734FA" w:rsidRPr="67C8B2F5">
        <w:rPr>
          <w:lang w:val="en"/>
        </w:rPr>
        <w:t>submit</w:t>
      </w:r>
      <w:r w:rsidRPr="00812BB7">
        <w:rPr>
          <w:lang w:val="en"/>
        </w:rPr>
        <w:t xml:space="preserve"> the compliance report t</w:t>
      </w:r>
      <w:r w:rsidR="00535993" w:rsidRPr="67C8B2F5">
        <w:rPr>
          <w:lang w:val="en"/>
        </w:rPr>
        <w:t>hrough</w:t>
      </w:r>
      <w:r w:rsidRPr="00812BB7">
        <w:rPr>
          <w:lang w:val="en"/>
        </w:rPr>
        <w:t xml:space="preserve"> </w:t>
      </w:r>
      <w:r w:rsidR="00772265" w:rsidRPr="67C8B2F5">
        <w:rPr>
          <w:lang w:val="en"/>
        </w:rPr>
        <w:t>the Foreign Investment Portal</w:t>
      </w:r>
      <w:r w:rsidR="00000F0E">
        <w:rPr>
          <w:lang w:val="en"/>
        </w:rPr>
        <w:t>.</w:t>
      </w:r>
      <w:r w:rsidR="001B4C51">
        <w:t xml:space="preserve"> </w:t>
      </w:r>
    </w:p>
    <w:p w14:paraId="6AAAC51B" w14:textId="44F98B09" w:rsidR="004B1102" w:rsidRPr="00812BB7" w:rsidRDefault="004B1102" w:rsidP="232C6DD0">
      <w:pPr>
        <w:rPr>
          <w:lang w:val="en-US"/>
        </w:rPr>
      </w:pPr>
      <w:r w:rsidRPr="232C6DD0">
        <w:rPr>
          <w:lang w:val="en-US"/>
        </w:rPr>
        <w:t>The reporting period set out in the conditions should be adhered to. Where it is not clear when a compliance report is due, the generally acceptable practice is that it should be submitted as soon as practicable following the end of the reporting period or triggering event (for example, the completion of an acquisition). Significant penalties (including infringement notices, civil and criminal penalties) may apply for breaches of the law.</w:t>
      </w:r>
    </w:p>
    <w:p w14:paraId="2B2E2971" w14:textId="20F7F449" w:rsidR="00545C63" w:rsidRPr="00812BB7" w:rsidRDefault="00E32F5D" w:rsidP="232C6DD0">
      <w:pPr>
        <w:rPr>
          <w:lang w:val="en-US"/>
        </w:rPr>
      </w:pPr>
      <w:r w:rsidRPr="00E32F5D">
        <w:rPr>
          <w:lang w:val="en-US"/>
        </w:rPr>
        <w:t xml:space="preserve">If there is a compelling commercial reason for varying the timing of the reporting period or when a specific report is due, foreign investors should contact Treasury as early as possible </w:t>
      </w:r>
      <w:r w:rsidR="00713A60">
        <w:rPr>
          <w:lang w:val="en-US"/>
        </w:rPr>
        <w:t>through</w:t>
      </w:r>
      <w:r w:rsidRPr="00E32F5D">
        <w:rPr>
          <w:lang w:val="en-US"/>
        </w:rPr>
        <w:t xml:space="preserve"> the Foreign Investment Portal mailbox. Treasury will seek to work with foreign investors to support them in achieving compliance.</w:t>
      </w:r>
    </w:p>
    <w:p w14:paraId="4652D059" w14:textId="77777777" w:rsidR="004B1102" w:rsidRPr="00812BB7" w:rsidRDefault="004B1102" w:rsidP="00294D1D">
      <w:pPr>
        <w:pStyle w:val="Heading3"/>
        <w:rPr>
          <w:lang w:val="en"/>
        </w:rPr>
      </w:pPr>
      <w:r w:rsidRPr="00812BB7">
        <w:rPr>
          <w:lang w:val="en"/>
        </w:rPr>
        <w:t xml:space="preserve">Tax reporting dates and </w:t>
      </w:r>
      <w:r w:rsidRPr="00812BB7">
        <w:t>accounting</w:t>
      </w:r>
      <w:r w:rsidRPr="00812BB7">
        <w:rPr>
          <w:lang w:val="en"/>
        </w:rPr>
        <w:t xml:space="preserve"> periods</w:t>
      </w:r>
    </w:p>
    <w:p w14:paraId="720FC56A" w14:textId="18B1F8F3" w:rsidR="004B1102" w:rsidRPr="00812BB7" w:rsidRDefault="004B1102" w:rsidP="3C226C43">
      <w:pPr>
        <w:rPr>
          <w:lang w:val="en-US"/>
        </w:rPr>
      </w:pPr>
      <w:r w:rsidRPr="3C226C43">
        <w:rPr>
          <w:lang w:val="en-US"/>
        </w:rPr>
        <w:t>If a foreign investor does not have tax obligations in Australia, then they should submit their report to the ATO when the Australian target entity (if relevant) submits its tax returns.</w:t>
      </w:r>
    </w:p>
    <w:p w14:paraId="6215609A" w14:textId="76ADA2B6" w:rsidR="004B1102" w:rsidRPr="00812BB7" w:rsidRDefault="004B1102" w:rsidP="3C226C43">
      <w:pPr>
        <w:rPr>
          <w:lang w:val="en-US"/>
        </w:rPr>
      </w:pPr>
      <w:r w:rsidRPr="3C226C43">
        <w:rPr>
          <w:lang w:val="en-US"/>
        </w:rPr>
        <w:t xml:space="preserve">If a foreign investor has tax obligations in Australia, then they should provide their tax conditions compliance report </w:t>
      </w:r>
      <w:proofErr w:type="gramStart"/>
      <w:r w:rsidRPr="3C226C43">
        <w:rPr>
          <w:lang w:val="en-US"/>
        </w:rPr>
        <w:t>at the same time that</w:t>
      </w:r>
      <w:proofErr w:type="gramEnd"/>
      <w:r w:rsidRPr="3C226C43">
        <w:rPr>
          <w:lang w:val="en-US"/>
        </w:rPr>
        <w:t xml:space="preserve"> they submit their annual tax return to the ATO. In preparing their report, they should use the accounting period of the standard Australian financial year (1 July to 30 June</w:t>
      </w:r>
      <w:proofErr w:type="gramStart"/>
      <w:r w:rsidRPr="3C226C43">
        <w:rPr>
          <w:lang w:val="en-US"/>
        </w:rPr>
        <w:t>)</w:t>
      </w:r>
      <w:proofErr w:type="gramEnd"/>
      <w:r w:rsidRPr="3C226C43">
        <w:rPr>
          <w:lang w:val="en-US"/>
        </w:rPr>
        <w:t xml:space="preserve"> or a substituted accounting period as approved by the ATO. For more information on substituted accounting periods, please see the </w:t>
      </w:r>
      <w:hyperlink r:id="rId13">
        <w:r w:rsidRPr="3C226C43">
          <w:rPr>
            <w:rStyle w:val="Hyperlink"/>
            <w:rFonts w:asciiTheme="minorHAnsi" w:hAnsiTheme="minorHAnsi" w:cstheme="minorBidi"/>
            <w:lang w:val="en-US"/>
          </w:rPr>
          <w:t>ATO website</w:t>
        </w:r>
      </w:hyperlink>
      <w:r w:rsidRPr="3C226C43">
        <w:rPr>
          <w:lang w:val="en-US"/>
        </w:rPr>
        <w:t>.</w:t>
      </w:r>
    </w:p>
    <w:p w14:paraId="6927DFC4" w14:textId="77777777" w:rsidR="004B1102" w:rsidRPr="00E62DE3" w:rsidRDefault="004B1102" w:rsidP="00294D1D">
      <w:pPr>
        <w:rPr>
          <w:rFonts w:cs="Calibri Light"/>
          <w:lang w:val="en"/>
        </w:rPr>
      </w:pPr>
      <w:r w:rsidRPr="00197921">
        <w:rPr>
          <w:rFonts w:cs="Calibri Light"/>
          <w:color w:val="212529"/>
          <w:lang w:val="en"/>
        </w:rPr>
        <w:t>For further information on reporting under tax conditions please see below.</w:t>
      </w:r>
    </w:p>
    <w:p w14:paraId="39C04AA7" w14:textId="77777777" w:rsidR="004B1102" w:rsidRPr="00812BB7" w:rsidRDefault="004B1102" w:rsidP="00294D1D">
      <w:pPr>
        <w:pStyle w:val="Heading2"/>
        <w:rPr>
          <w:lang w:val="en"/>
        </w:rPr>
      </w:pPr>
      <w:bookmarkStart w:id="5" w:name="_Toc190941156"/>
      <w:r w:rsidRPr="00812BB7">
        <w:t xml:space="preserve">E: </w:t>
      </w:r>
      <w:r w:rsidRPr="00812BB7">
        <w:rPr>
          <w:lang w:val="en"/>
        </w:rPr>
        <w:t xml:space="preserve">Who prepares </w:t>
      </w:r>
      <w:r w:rsidRPr="00812BB7">
        <w:t>and</w:t>
      </w:r>
      <w:r w:rsidRPr="00812BB7">
        <w:rPr>
          <w:lang w:val="en"/>
        </w:rPr>
        <w:t xml:space="preserve"> signs off on </w:t>
      </w:r>
      <w:r w:rsidRPr="00812BB7">
        <w:t>the</w:t>
      </w:r>
      <w:r w:rsidRPr="00812BB7">
        <w:rPr>
          <w:lang w:val="en"/>
        </w:rPr>
        <w:t xml:space="preserve"> report and their role(s) in relation to the investor</w:t>
      </w:r>
      <w:bookmarkEnd w:id="5"/>
    </w:p>
    <w:p w14:paraId="028463DF" w14:textId="586F7360" w:rsidR="005220AA" w:rsidRDefault="005220AA" w:rsidP="232C6DD0">
      <w:pPr>
        <w:rPr>
          <w:lang w:val="en-US"/>
        </w:rPr>
      </w:pPr>
      <w:r w:rsidRPr="005220AA">
        <w:rPr>
          <w:lang w:val="en-US"/>
        </w:rPr>
        <w:t>An investor’s conditions will generally state what is considered an appropriate level of assurance for a report (for example, that the compliance report is to be signed by the chief executive officer of the foreign investor</w:t>
      </w:r>
      <w:r w:rsidR="00B06A17">
        <w:rPr>
          <w:lang w:val="en-US"/>
        </w:rPr>
        <w:t>,</w:t>
      </w:r>
      <w:r w:rsidRPr="005220AA">
        <w:rPr>
          <w:lang w:val="en-US"/>
        </w:rPr>
        <w:t xml:space="preserve"> or the independent audit report is to be signed by the appointed lead auditor of the independent audit firm engaged by the foreign investor to perform the audit and prepare the audit report). If not specified, assurance should generally be provided by an officer</w:t>
      </w:r>
      <w:r w:rsidR="00A22FBE" w:rsidRPr="3C226C43">
        <w:rPr>
          <w:rStyle w:val="FootnoteReference"/>
          <w:rFonts w:asciiTheme="minorHAnsi" w:hAnsiTheme="minorHAnsi" w:cstheme="minorBidi"/>
          <w:color w:val="212529"/>
          <w:lang w:val="en-US"/>
        </w:rPr>
        <w:footnoteReference w:id="3"/>
      </w:r>
      <w:r w:rsidRPr="005220AA">
        <w:rPr>
          <w:lang w:val="en-US"/>
        </w:rPr>
        <w:t xml:space="preserve"> of the investor. The compliance report should specify that the assurance </w:t>
      </w:r>
      <w:r w:rsidRPr="005220AA">
        <w:rPr>
          <w:lang w:val="en-US"/>
        </w:rPr>
        <w:lastRenderedPageBreak/>
        <w:t xml:space="preserve">was given on the basis of reasonable enquiries made by the person signing </w:t>
      </w:r>
      <w:proofErr w:type="gramStart"/>
      <w:r w:rsidRPr="005220AA">
        <w:rPr>
          <w:lang w:val="en-US"/>
        </w:rPr>
        <w:t>it, and</w:t>
      </w:r>
      <w:proofErr w:type="gramEnd"/>
      <w:r w:rsidRPr="005220AA">
        <w:rPr>
          <w:lang w:val="en-US"/>
        </w:rPr>
        <w:t xml:space="preserve"> should detail any elements of material non</w:t>
      </w:r>
      <w:r>
        <w:rPr>
          <w:lang w:val="en-US"/>
        </w:rPr>
        <w:t>-</w:t>
      </w:r>
      <w:r w:rsidRPr="005220AA">
        <w:rPr>
          <w:lang w:val="en-US"/>
        </w:rPr>
        <w:t>compliance with the relevant conditions. The person signing off the compliance report should be able to explain, if asked, the processes undertaken and evidence examined to enable them to provide their assurance. It is generally not appropriate for a legal or other adviser of the investor to sign the compliance report.</w:t>
      </w:r>
    </w:p>
    <w:p w14:paraId="1CEF7931" w14:textId="46AA1A1E" w:rsidR="004B1102" w:rsidRPr="00812BB7" w:rsidRDefault="004B1102" w:rsidP="232C6DD0">
      <w:pPr>
        <w:rPr>
          <w:lang w:val="en-US"/>
        </w:rPr>
      </w:pPr>
      <w:r w:rsidRPr="232C6DD0">
        <w:rPr>
          <w:lang w:val="en-US"/>
        </w:rPr>
        <w:t xml:space="preserve">If investors remain in doubt about who should sign off on a </w:t>
      </w:r>
      <w:r w:rsidR="009E753C">
        <w:rPr>
          <w:lang w:val="en-US"/>
        </w:rPr>
        <w:t xml:space="preserve">compliance </w:t>
      </w:r>
      <w:r w:rsidRPr="232C6DD0">
        <w:rPr>
          <w:lang w:val="en-US"/>
        </w:rPr>
        <w:t>report</w:t>
      </w:r>
      <w:r w:rsidR="006417A4">
        <w:rPr>
          <w:lang w:val="en-US"/>
        </w:rPr>
        <w:t xml:space="preserve"> or an independent audit report</w:t>
      </w:r>
      <w:r w:rsidRPr="232C6DD0">
        <w:rPr>
          <w:lang w:val="en-US"/>
        </w:rPr>
        <w:t xml:space="preserve">, they should contact Treasury </w:t>
      </w:r>
      <w:r w:rsidR="00B911DA">
        <w:rPr>
          <w:lang w:val="en-US"/>
        </w:rPr>
        <w:t>through</w:t>
      </w:r>
      <w:r w:rsidR="00740BFA" w:rsidRPr="232C6DD0">
        <w:rPr>
          <w:lang w:val="en-US"/>
        </w:rPr>
        <w:t xml:space="preserve"> the Foreign Investment Portal</w:t>
      </w:r>
      <w:r w:rsidR="00D54DF5">
        <w:rPr>
          <w:lang w:val="en-US"/>
        </w:rPr>
        <w:t xml:space="preserve"> mailbox</w:t>
      </w:r>
      <w:r w:rsidR="00BA3780" w:rsidRPr="232C6DD0">
        <w:rPr>
          <w:lang w:val="en-US"/>
        </w:rPr>
        <w:t xml:space="preserve">. </w:t>
      </w:r>
    </w:p>
    <w:p w14:paraId="2A09175B" w14:textId="77777777" w:rsidR="004B1102" w:rsidRPr="00812BB7" w:rsidRDefault="004B1102" w:rsidP="00294D1D">
      <w:pPr>
        <w:pStyle w:val="Heading2"/>
        <w:rPr>
          <w:lang w:val="en"/>
        </w:rPr>
      </w:pPr>
      <w:bookmarkStart w:id="6" w:name="_Toc190941157"/>
      <w:r w:rsidRPr="00812BB7">
        <w:rPr>
          <w:lang w:val="en"/>
        </w:rPr>
        <w:t xml:space="preserve">F: Accurate, factual and </w:t>
      </w:r>
      <w:r w:rsidRPr="00812BB7">
        <w:t>complete</w:t>
      </w:r>
      <w:r w:rsidRPr="00812BB7">
        <w:rPr>
          <w:lang w:val="en"/>
        </w:rPr>
        <w:t xml:space="preserve"> information</w:t>
      </w:r>
      <w:bookmarkEnd w:id="6"/>
    </w:p>
    <w:p w14:paraId="39D1CDA2" w14:textId="06B8CE7D" w:rsidR="004B1102" w:rsidRPr="00812BB7" w:rsidRDefault="004B1102" w:rsidP="3C226C43">
      <w:pPr>
        <w:rPr>
          <w:lang w:val="en-US"/>
        </w:rPr>
      </w:pPr>
      <w:r w:rsidRPr="2D73A0C3">
        <w:rPr>
          <w:lang w:val="en-US"/>
        </w:rPr>
        <w:t>It is important to provide information that is accurate, factual and complete. The report</w:t>
      </w:r>
      <w:r w:rsidR="006417A4" w:rsidRPr="2D73A0C3">
        <w:rPr>
          <w:lang w:val="en-US"/>
        </w:rPr>
        <w:t xml:space="preserve">, whether it </w:t>
      </w:r>
      <w:r w:rsidR="2099B8FE" w:rsidRPr="2D73A0C3">
        <w:rPr>
          <w:lang w:val="en-US"/>
        </w:rPr>
        <w:t xml:space="preserve">is </w:t>
      </w:r>
      <w:r w:rsidR="006417A4" w:rsidRPr="2D73A0C3">
        <w:rPr>
          <w:lang w:val="en-US"/>
        </w:rPr>
        <w:t>a compliance report or an independent audit report</w:t>
      </w:r>
      <w:r w:rsidR="00483B99" w:rsidRPr="2D73A0C3">
        <w:rPr>
          <w:lang w:val="en-US"/>
        </w:rPr>
        <w:t>,</w:t>
      </w:r>
      <w:r w:rsidR="006417A4" w:rsidRPr="2D73A0C3">
        <w:rPr>
          <w:lang w:val="en-US"/>
        </w:rPr>
        <w:t xml:space="preserve"> </w:t>
      </w:r>
      <w:r w:rsidRPr="2D73A0C3">
        <w:rPr>
          <w:lang w:val="en-US"/>
        </w:rPr>
        <w:t>should provide appropriate assurance of this.</w:t>
      </w:r>
    </w:p>
    <w:p w14:paraId="40CA95F2" w14:textId="724E52C7" w:rsidR="004B1102" w:rsidRPr="00812BB7" w:rsidRDefault="004B1102" w:rsidP="00294D1D">
      <w:pPr>
        <w:rPr>
          <w:lang w:val="en"/>
        </w:rPr>
      </w:pPr>
      <w:r w:rsidRPr="00812BB7">
        <w:rPr>
          <w:lang w:val="en"/>
        </w:rPr>
        <w:t>The information provided should not have significant gaps, it should present facts that can be verified if needed, and it should be sufficiently complete that it can be used to make informed decisions about the foreign investor</w:t>
      </w:r>
      <w:r w:rsidR="00294D1D">
        <w:rPr>
          <w:lang w:val="en"/>
        </w:rPr>
        <w:t>’</w:t>
      </w:r>
      <w:r w:rsidRPr="00812BB7">
        <w:rPr>
          <w:lang w:val="en"/>
        </w:rPr>
        <w:t>s degree of compliance. </w:t>
      </w:r>
    </w:p>
    <w:p w14:paraId="36E73371" w14:textId="33B9AE6F" w:rsidR="004B1102" w:rsidRPr="00812BB7" w:rsidRDefault="004B1102" w:rsidP="3C226C43">
      <w:pPr>
        <w:rPr>
          <w:lang w:val="en-US"/>
        </w:rPr>
      </w:pPr>
      <w:r w:rsidRPr="3C226C43">
        <w:rPr>
          <w:lang w:val="en-US"/>
        </w:rPr>
        <w:t xml:space="preserve">Investors should be aware that it is an offence under Part 7.4 of the </w:t>
      </w:r>
      <w:r w:rsidRPr="3C226C43">
        <w:rPr>
          <w:rFonts w:asciiTheme="minorHAnsi" w:hAnsiTheme="minorHAnsi" w:cstheme="minorBidi"/>
          <w:i/>
          <w:iCs/>
          <w:lang w:val="en-US"/>
        </w:rPr>
        <w:t>Criminal Code</w:t>
      </w:r>
      <w:r w:rsidRPr="3C226C43">
        <w:rPr>
          <w:lang w:val="en-US"/>
        </w:rPr>
        <w:t xml:space="preserve"> to provide false or misleading information or documents to a Commonwealth officer or entity, or in compliance or purported compliance with a law of the Commonwealth.</w:t>
      </w:r>
    </w:p>
    <w:p w14:paraId="5EAD3750" w14:textId="77777777" w:rsidR="004B1102" w:rsidRPr="00812BB7" w:rsidRDefault="004B1102" w:rsidP="00294D1D">
      <w:pPr>
        <w:pStyle w:val="Heading2"/>
        <w:rPr>
          <w:lang w:val="en"/>
        </w:rPr>
      </w:pPr>
      <w:bookmarkStart w:id="7" w:name="_Toc190941158"/>
      <w:r w:rsidRPr="00812BB7">
        <w:rPr>
          <w:lang w:val="en"/>
        </w:rPr>
        <w:t xml:space="preserve">G: Quality, depth and </w:t>
      </w:r>
      <w:r w:rsidRPr="00812BB7">
        <w:t>relevance</w:t>
      </w:r>
      <w:r w:rsidRPr="00812BB7">
        <w:rPr>
          <w:lang w:val="en"/>
        </w:rPr>
        <w:t xml:space="preserve"> of </w:t>
      </w:r>
      <w:r w:rsidRPr="00812BB7">
        <w:t>information</w:t>
      </w:r>
      <w:r w:rsidRPr="00812BB7">
        <w:rPr>
          <w:lang w:val="en"/>
        </w:rPr>
        <w:t xml:space="preserve"> and evidence provided</w:t>
      </w:r>
      <w:bookmarkEnd w:id="7"/>
    </w:p>
    <w:p w14:paraId="362FD9EB" w14:textId="77777777" w:rsidR="004B1102" w:rsidRPr="00812BB7" w:rsidRDefault="004B1102" w:rsidP="3C226C43">
      <w:pPr>
        <w:rPr>
          <w:lang w:val="en-US"/>
        </w:rPr>
      </w:pPr>
      <w:r w:rsidRPr="3C226C43">
        <w:rPr>
          <w:lang w:val="en-US"/>
        </w:rPr>
        <w:t>Reports should be prepared in accordance with the relevant conditions. All reports should contain necessary details so that it is clear who the investor is, what the action (that is, the relevant investment) is that has been taken, which conditions are being complied with, and who is the person responsible for providing assurance of compliance. Such details may include, but are not limited to:</w:t>
      </w:r>
    </w:p>
    <w:p w14:paraId="64C7EEC0" w14:textId="405DD78D" w:rsidR="004B1102" w:rsidRPr="00812BB7" w:rsidRDefault="004B1102" w:rsidP="008924B1">
      <w:pPr>
        <w:pStyle w:val="Bullet"/>
        <w:rPr>
          <w:lang w:val="en"/>
        </w:rPr>
      </w:pPr>
      <w:r w:rsidRPr="00812BB7">
        <w:rPr>
          <w:lang w:val="en"/>
        </w:rPr>
        <w:t>the name of the foreign investor and the file numbers relevant to the application;</w:t>
      </w:r>
    </w:p>
    <w:p w14:paraId="651F288B" w14:textId="77777777" w:rsidR="004B1102" w:rsidRPr="00812BB7" w:rsidRDefault="004B1102" w:rsidP="008924B1">
      <w:pPr>
        <w:pStyle w:val="Bullet"/>
        <w:rPr>
          <w:lang w:val="en"/>
        </w:rPr>
      </w:pPr>
      <w:r w:rsidRPr="00812BB7">
        <w:rPr>
          <w:lang w:val="en"/>
        </w:rPr>
        <w:t>the name and authority of the person/s signing off on the report;</w:t>
      </w:r>
    </w:p>
    <w:p w14:paraId="776352CE" w14:textId="77777777" w:rsidR="004B1102" w:rsidRPr="00812BB7" w:rsidRDefault="004B1102" w:rsidP="008924B1">
      <w:pPr>
        <w:pStyle w:val="Bullet"/>
        <w:rPr>
          <w:lang w:val="en"/>
        </w:rPr>
      </w:pPr>
      <w:r w:rsidRPr="00812BB7">
        <w:rPr>
          <w:lang w:val="en"/>
        </w:rPr>
        <w:t xml:space="preserve">the date by which the </w:t>
      </w:r>
      <w:r w:rsidRPr="008924B1">
        <w:t>report</w:t>
      </w:r>
      <w:r w:rsidRPr="00812BB7">
        <w:rPr>
          <w:lang w:val="en"/>
        </w:rPr>
        <w:t xml:space="preserve"> was required to be submitted;</w:t>
      </w:r>
    </w:p>
    <w:p w14:paraId="386CA1C5" w14:textId="77777777" w:rsidR="004B1102" w:rsidRPr="00812BB7" w:rsidRDefault="004B1102" w:rsidP="008924B1">
      <w:pPr>
        <w:pStyle w:val="Bullet"/>
        <w:rPr>
          <w:lang w:val="en"/>
        </w:rPr>
      </w:pPr>
      <w:r w:rsidRPr="00812BB7">
        <w:rPr>
          <w:lang w:val="en"/>
        </w:rPr>
        <w:t xml:space="preserve">the dates the action/s were approved, and the dates </w:t>
      </w:r>
      <w:r w:rsidRPr="008924B1">
        <w:t>they</w:t>
      </w:r>
      <w:r w:rsidRPr="00812BB7">
        <w:rPr>
          <w:lang w:val="en"/>
        </w:rPr>
        <w:t xml:space="preserve"> were completed;</w:t>
      </w:r>
    </w:p>
    <w:p w14:paraId="3A86E300" w14:textId="77777777" w:rsidR="004B1102" w:rsidRPr="00812BB7" w:rsidRDefault="004B1102" w:rsidP="008924B1">
      <w:pPr>
        <w:pStyle w:val="Bullet"/>
        <w:rPr>
          <w:lang w:val="en"/>
        </w:rPr>
      </w:pPr>
      <w:r w:rsidRPr="00812BB7">
        <w:rPr>
          <w:lang w:val="en"/>
        </w:rPr>
        <w:t xml:space="preserve">the other parties to the action/transaction; </w:t>
      </w:r>
      <w:r w:rsidRPr="008924B1">
        <w:t>and</w:t>
      </w:r>
    </w:p>
    <w:p w14:paraId="63BF4812" w14:textId="1E43C67E" w:rsidR="004B1102" w:rsidRPr="00812BB7" w:rsidRDefault="004B1102" w:rsidP="3C226C43">
      <w:pPr>
        <w:pStyle w:val="Bullet"/>
        <w:rPr>
          <w:lang w:val="en-US"/>
        </w:rPr>
      </w:pPr>
      <w:r w:rsidRPr="3C226C43">
        <w:rPr>
          <w:lang w:val="en-US"/>
        </w:rPr>
        <w:t>the name of the entity/entities performing the action, its ultimate owner/s, and the executive officer/s with ultimate responsibility for the action</w:t>
      </w:r>
      <w:r w:rsidR="00EB5318">
        <w:rPr>
          <w:lang w:val="en-US"/>
        </w:rPr>
        <w:t xml:space="preserve"> and for complying with the conditions </w:t>
      </w:r>
      <w:r w:rsidR="00B4474E">
        <w:rPr>
          <w:lang w:val="en-US"/>
        </w:rPr>
        <w:t>(</w:t>
      </w:r>
      <w:r w:rsidR="00EB5318">
        <w:rPr>
          <w:lang w:val="en-US"/>
        </w:rPr>
        <w:t>including the requirement to prepare and submit the report</w:t>
      </w:r>
      <w:r w:rsidR="00B4474E">
        <w:rPr>
          <w:lang w:val="en-US"/>
        </w:rPr>
        <w:t>)</w:t>
      </w:r>
      <w:r w:rsidRPr="3C226C43">
        <w:rPr>
          <w:lang w:val="en-US"/>
        </w:rPr>
        <w:t>.</w:t>
      </w:r>
    </w:p>
    <w:p w14:paraId="3C3CC8E9" w14:textId="77777777" w:rsidR="004B1102" w:rsidRPr="00812BB7" w:rsidRDefault="004B1102" w:rsidP="00294D1D">
      <w:pPr>
        <w:pStyle w:val="Heading2"/>
        <w:rPr>
          <w:lang w:val="en"/>
        </w:rPr>
      </w:pPr>
      <w:bookmarkStart w:id="8" w:name="_Toc190941159"/>
      <w:r w:rsidRPr="00812BB7">
        <w:rPr>
          <w:lang w:val="en"/>
        </w:rPr>
        <w:t xml:space="preserve">H: Reporting under tax </w:t>
      </w:r>
      <w:r w:rsidRPr="00812BB7">
        <w:t>conditions</w:t>
      </w:r>
      <w:bookmarkEnd w:id="8"/>
    </w:p>
    <w:p w14:paraId="02F45B7B" w14:textId="7AD63FDD" w:rsidR="004B1102" w:rsidRPr="00812BB7" w:rsidRDefault="004B1102" w:rsidP="008924B1">
      <w:r w:rsidRPr="00812BB7">
        <w:rPr>
          <w:lang w:val="en"/>
        </w:rPr>
        <w:t xml:space="preserve">The </w:t>
      </w:r>
      <w:r w:rsidRPr="00812BB7">
        <w:t>reporting template provided at </w:t>
      </w:r>
      <w:r w:rsidRPr="00812BB7">
        <w:rPr>
          <w:u w:val="single"/>
        </w:rPr>
        <w:t>Attachment A</w:t>
      </w:r>
      <w:r w:rsidRPr="00812BB7">
        <w:t xml:space="preserve"> can also be used by investors that are required to report to Treasury annually on compliance with tax conditions. The report may be modified to suit particular circumstances.</w:t>
      </w:r>
    </w:p>
    <w:p w14:paraId="714A7431" w14:textId="085CF2CE" w:rsidR="00257440" w:rsidRDefault="004B1102" w:rsidP="00BD5ADD">
      <w:pPr>
        <w:rPr>
          <w:rFonts w:ascii="Calibri" w:hAnsi="Calibri" w:cs="Arial"/>
          <w:iCs/>
          <w:color w:val="2C384A"/>
          <w:kern w:val="32"/>
          <w:sz w:val="36"/>
          <w:szCs w:val="28"/>
        </w:rPr>
      </w:pPr>
      <w:r w:rsidRPr="00812BB7">
        <w:t xml:space="preserve">The report should </w:t>
      </w:r>
      <w:r w:rsidRPr="00812BB7">
        <w:rPr>
          <w:lang w:val="en"/>
        </w:rPr>
        <w:t>be signed off by an officer of the investor</w:t>
      </w:r>
      <w:r w:rsidR="00294D1D">
        <w:rPr>
          <w:lang w:val="en"/>
        </w:rPr>
        <w:t xml:space="preserve">. </w:t>
      </w:r>
      <w:r w:rsidR="00257440">
        <w:br w:type="page"/>
      </w:r>
    </w:p>
    <w:p w14:paraId="2FE9610E" w14:textId="7E933AFA" w:rsidR="004B1102" w:rsidRPr="00812BB7" w:rsidRDefault="004B1102" w:rsidP="00294D1D">
      <w:pPr>
        <w:pStyle w:val="Heading2"/>
      </w:pPr>
      <w:bookmarkStart w:id="9" w:name="_Toc190941160"/>
      <w:r w:rsidRPr="00812BB7">
        <w:lastRenderedPageBreak/>
        <w:t>I: Reporting on independent audit conditions</w:t>
      </w:r>
      <w:bookmarkEnd w:id="9"/>
    </w:p>
    <w:p w14:paraId="273D3313" w14:textId="52510EBA" w:rsidR="004B1102" w:rsidRPr="00812BB7" w:rsidRDefault="004B1102" w:rsidP="00294D1D">
      <w:r w:rsidRPr="00812BB7">
        <w:t>Independent audit conditions, under which investors must engage an independent audit firm to audit their compliance with conditions, provide an additional level of assurance where more visibility of compliance with conditions is required. These conditions generally require that the Commonwealth approve the identity of the audit firm</w:t>
      </w:r>
      <w:r w:rsidR="00E33F0E">
        <w:t>, the audit team nominated by the audit firm</w:t>
      </w:r>
      <w:r w:rsidRPr="00812BB7">
        <w:t xml:space="preserve"> </w:t>
      </w:r>
      <w:r w:rsidR="00E33F0E">
        <w:t xml:space="preserve">and </w:t>
      </w:r>
      <w:r w:rsidRPr="00812BB7">
        <w:t xml:space="preserve">the scope of the audit. </w:t>
      </w:r>
      <w:r w:rsidR="006829A6">
        <w:t>C</w:t>
      </w:r>
      <w:r w:rsidRPr="00812BB7">
        <w:t xml:space="preserve">onditions allow an investor to engage an independent professional advisory firm with appropriate technical skills (in addition to, or instead of, an independent audit firm (Relevant Expert)) to prepare an audit report in accordance with relevant Australian audit standards issued by the </w:t>
      </w:r>
      <w:hyperlink r:id="rId14" w:history="1">
        <w:r w:rsidRPr="00812BB7">
          <w:rPr>
            <w:rStyle w:val="Hyperlink"/>
          </w:rPr>
          <w:t>Auditing and Assurance Standards Board</w:t>
        </w:r>
      </w:hyperlink>
      <w:r w:rsidRPr="00812BB7">
        <w:t>.</w:t>
      </w:r>
    </w:p>
    <w:p w14:paraId="71DD2356" w14:textId="77777777" w:rsidR="004B1102" w:rsidRPr="00812BB7" w:rsidRDefault="004B1102" w:rsidP="00294D1D">
      <w:r w:rsidRPr="00812BB7">
        <w:t xml:space="preserve">The decision maker may be more likely to impose an independent audit condition in relation to investments which are of a higher value or where the assessed risk to the national interest (or national security, as the case requires) is higher, such as investments involving sensitive sectors of the economy. </w:t>
      </w:r>
    </w:p>
    <w:p w14:paraId="4BA1865D" w14:textId="77777777" w:rsidR="004B1102" w:rsidRDefault="004B1102" w:rsidP="00294D1D">
      <w:r w:rsidRPr="00812BB7">
        <w:t xml:space="preserve">The audit must be carried out at the cost of the entity to which it relates. </w:t>
      </w:r>
    </w:p>
    <w:p w14:paraId="25BF4671" w14:textId="2707ED57" w:rsidR="0018442E" w:rsidRPr="00812BB7" w:rsidRDefault="0018442E" w:rsidP="00294D1D">
      <w:r>
        <w:t xml:space="preserve">The </w:t>
      </w:r>
      <w:r w:rsidR="009C482B">
        <w:t xml:space="preserve">first audit will be for the period commencing </w:t>
      </w:r>
      <w:r w:rsidR="00DC16C3">
        <w:t xml:space="preserve">from </w:t>
      </w:r>
      <w:r w:rsidR="009C482B">
        <w:t xml:space="preserve">the date the action described </w:t>
      </w:r>
      <w:r w:rsidR="00192C01">
        <w:t xml:space="preserve">in </w:t>
      </w:r>
      <w:r w:rsidR="009C482B">
        <w:t>the relevant no objection notification or e</w:t>
      </w:r>
      <w:r w:rsidR="0038365F">
        <w:t>xemption certificate is taken. Therefore</w:t>
      </w:r>
      <w:r w:rsidR="00A93B96">
        <w:t xml:space="preserve">, </w:t>
      </w:r>
      <w:r w:rsidR="0038365F">
        <w:t xml:space="preserve">it is </w:t>
      </w:r>
      <w:r w:rsidR="00A93B96">
        <w:t xml:space="preserve">important that </w:t>
      </w:r>
      <w:r w:rsidR="0038365F">
        <w:t>foreign investors</w:t>
      </w:r>
      <w:r w:rsidR="00231CED">
        <w:t xml:space="preserve"> comply with their </w:t>
      </w:r>
      <w:r w:rsidR="00366A77">
        <w:t xml:space="preserve">audit </w:t>
      </w:r>
      <w:r w:rsidR="00231CED">
        <w:t>conditions from this dat</w:t>
      </w:r>
      <w:r w:rsidR="00A93B96">
        <w:t xml:space="preserve">e. </w:t>
      </w:r>
    </w:p>
    <w:p w14:paraId="0EAC7BD3" w14:textId="77777777" w:rsidR="004B1102" w:rsidRPr="00812BB7" w:rsidRDefault="004B1102" w:rsidP="006A143D">
      <w:pPr>
        <w:pStyle w:val="Heading3"/>
        <w:spacing w:line="240" w:lineRule="auto"/>
      </w:pPr>
      <w:r w:rsidRPr="00812BB7">
        <w:t>Factors the Commonwealth is likely to consider in determining whether to approve a particular audit firm and/or relevant expert undertaking audit work</w:t>
      </w:r>
    </w:p>
    <w:p w14:paraId="0A16FF8F" w14:textId="77777777" w:rsidR="004B1102" w:rsidRPr="00812BB7" w:rsidRDefault="004B1102" w:rsidP="00294D1D">
      <w:r w:rsidRPr="00812BB7">
        <w:t xml:space="preserve">Amongst other factors, the Commonwealth is likely to consider the following in determining whether to approve an audit firm (and/or Relevant Expert, if applicable) undertaking audit work: </w:t>
      </w:r>
    </w:p>
    <w:p w14:paraId="2F56C361" w14:textId="7628FC5E" w:rsidR="004B1102" w:rsidRPr="00812BB7" w:rsidRDefault="004B1102" w:rsidP="0031389D">
      <w:pPr>
        <w:pStyle w:val="ListParagraph"/>
        <w:numPr>
          <w:ilvl w:val="0"/>
          <w:numId w:val="18"/>
        </w:numPr>
        <w:contextualSpacing w:val="0"/>
      </w:pPr>
      <w:r w:rsidRPr="00812BB7">
        <w:t>Depth and quality of the pool of people dedicated to the audit, including relevant experience of the firm and individual team members, as well as the level of commitment of people supporting the audit. The proposed team members</w:t>
      </w:r>
      <w:r w:rsidR="00294D1D">
        <w:t>’</w:t>
      </w:r>
      <w:r w:rsidRPr="00812BB7">
        <w:t xml:space="preserve"> experience in undertaking similar work in Australian regulated entities is also a relevant factor. </w:t>
      </w:r>
      <w:r w:rsidR="00F23F8C">
        <w:t>For example, where data and/or cybersecurity conditions have been imposed on the foreign investor, the audit team must hold relevant qualifications and expertise to be able to assess, test</w:t>
      </w:r>
      <w:r w:rsidR="002143FC">
        <w:t xml:space="preserve"> and</w:t>
      </w:r>
      <w:r w:rsidR="00F23F8C">
        <w:t xml:space="preserve"> sample (as needed)</w:t>
      </w:r>
      <w:r w:rsidR="002A21C2">
        <w:t xml:space="preserve"> in order to make evidence-based findings and</w:t>
      </w:r>
      <w:r w:rsidR="00F23F8C">
        <w:t xml:space="preserve"> conclusions as to </w:t>
      </w:r>
      <w:r w:rsidR="002A21C2">
        <w:t xml:space="preserve">the foreign </w:t>
      </w:r>
      <w:r w:rsidR="00F23F8C">
        <w:t>investor</w:t>
      </w:r>
      <w:r w:rsidR="002A21C2">
        <w:t>’s</w:t>
      </w:r>
      <w:r w:rsidR="00F23F8C">
        <w:t xml:space="preserve"> compliance with </w:t>
      </w:r>
      <w:r w:rsidR="002A21C2">
        <w:t xml:space="preserve">conditions. </w:t>
      </w:r>
    </w:p>
    <w:p w14:paraId="2E921D15" w14:textId="6E6843F1" w:rsidR="004B1102" w:rsidRPr="00812BB7" w:rsidRDefault="004B1102" w:rsidP="0031389D">
      <w:pPr>
        <w:pStyle w:val="ListParagraph"/>
        <w:numPr>
          <w:ilvl w:val="0"/>
          <w:numId w:val="18"/>
        </w:numPr>
        <w:contextualSpacing w:val="0"/>
      </w:pPr>
      <w:r w:rsidRPr="00812BB7">
        <w:t>Absence of any existing or potential conflicts of interest (including a robust process to ensure this is the case), and the approach to identifying, reporting and managing any potential conflicts of interest during the course of the audit. Investors and their proposed auditors are encouraged to consider the impact of prior engagements and may be asked for further information relating to them (Treasury would generally expect that any prior internal or external auditing engagements with both the investors and the target entities are noted in the submitted audit proposal).</w:t>
      </w:r>
    </w:p>
    <w:p w14:paraId="4DB0CFC2" w14:textId="77777777" w:rsidR="00486ADA" w:rsidRPr="00812BB7" w:rsidRDefault="00486ADA" w:rsidP="00486ADA">
      <w:pPr>
        <w:pStyle w:val="ListParagraph"/>
        <w:numPr>
          <w:ilvl w:val="0"/>
          <w:numId w:val="18"/>
        </w:numPr>
        <w:contextualSpacing w:val="0"/>
      </w:pPr>
      <w:r w:rsidRPr="00812BB7">
        <w:t>Where relevant, capacity and expertise to assess and advise on potential physical security and system security (including cybersecurity) issues. A summary of previous security analysis roles undertaken within Australian or global companies would be useful in this regard</w:t>
      </w:r>
      <w:r>
        <w:t xml:space="preserve">. </w:t>
      </w:r>
    </w:p>
    <w:p w14:paraId="367274FD" w14:textId="77777777" w:rsidR="004B1102" w:rsidRPr="00812BB7" w:rsidRDefault="004B1102" w:rsidP="0031389D">
      <w:pPr>
        <w:pStyle w:val="ListParagraph"/>
        <w:numPr>
          <w:ilvl w:val="0"/>
          <w:numId w:val="18"/>
        </w:numPr>
        <w:ind w:left="357" w:hanging="357"/>
        <w:contextualSpacing w:val="0"/>
      </w:pPr>
      <w:r w:rsidRPr="00812BB7">
        <w:t xml:space="preserve">Knowledge and understanding of the relevant industry. The investor should, to the best of its ability, provide information on the work that the proposed audit firm (and/or Relevant Expert, as applicable) has undertaken in the relevant sector over the last five years. </w:t>
      </w:r>
    </w:p>
    <w:p w14:paraId="5FFED6E4" w14:textId="77777777" w:rsidR="004B1102" w:rsidRPr="00812BB7" w:rsidRDefault="004B1102" w:rsidP="0031389D">
      <w:pPr>
        <w:pStyle w:val="ListParagraph"/>
        <w:numPr>
          <w:ilvl w:val="0"/>
          <w:numId w:val="18"/>
        </w:numPr>
        <w:contextualSpacing w:val="0"/>
      </w:pPr>
      <w:r w:rsidRPr="00812BB7">
        <w:t xml:space="preserve">Understanding of governance. </w:t>
      </w:r>
    </w:p>
    <w:p w14:paraId="4E86BF85" w14:textId="77777777" w:rsidR="004B1102" w:rsidRPr="00812BB7" w:rsidRDefault="004B1102" w:rsidP="0031389D">
      <w:pPr>
        <w:pStyle w:val="ListParagraph"/>
        <w:numPr>
          <w:ilvl w:val="0"/>
          <w:numId w:val="18"/>
        </w:numPr>
        <w:contextualSpacing w:val="0"/>
      </w:pPr>
      <w:r w:rsidRPr="00812BB7">
        <w:lastRenderedPageBreak/>
        <w:t xml:space="preserve">Understanding of the technical, commercial, policy and regulatory issues. </w:t>
      </w:r>
    </w:p>
    <w:p w14:paraId="786344B9" w14:textId="1387ED08" w:rsidR="004B1102" w:rsidRPr="00812BB7" w:rsidRDefault="004B1102" w:rsidP="0031389D">
      <w:pPr>
        <w:pStyle w:val="ListParagraph"/>
        <w:numPr>
          <w:ilvl w:val="0"/>
          <w:numId w:val="18"/>
        </w:numPr>
        <w:contextualSpacing w:val="0"/>
      </w:pPr>
      <w:r w:rsidRPr="00812BB7">
        <w:t>Staff with appropriate security clearances (where applicable and relevant)</w:t>
      </w:r>
      <w:r w:rsidR="00294D1D">
        <w:t xml:space="preserve">. </w:t>
      </w:r>
    </w:p>
    <w:p w14:paraId="1350786D" w14:textId="1D669338" w:rsidR="004B1102" w:rsidRPr="0031389D" w:rsidRDefault="004B1102" w:rsidP="0031389D">
      <w:pPr>
        <w:rPr>
          <w:rFonts w:ascii="Segoe UI" w:hAnsi="Segoe UI" w:cs="Segoe UI"/>
        </w:rPr>
      </w:pPr>
      <w:r w:rsidRPr="00812BB7">
        <w:t>It is important to note that it is a requirement the audit be conducted independently</w:t>
      </w:r>
      <w:r w:rsidR="00FF6178">
        <w:t>. W</w:t>
      </w:r>
      <w:r w:rsidRPr="00812BB7">
        <w:t>hile the Commonwealth must be able to rely on the content of the audit report</w:t>
      </w:r>
      <w:r w:rsidR="00FF6178">
        <w:t xml:space="preserve"> and may make </w:t>
      </w:r>
      <w:proofErr w:type="gramStart"/>
      <w:r w:rsidR="00FF6178">
        <w:t>enquiries</w:t>
      </w:r>
      <w:r w:rsidR="00214D6E">
        <w:t>,</w:t>
      </w:r>
      <w:r w:rsidR="00FF6178">
        <w:t xml:space="preserve"> and</w:t>
      </w:r>
      <w:proofErr w:type="gramEnd"/>
      <w:r w:rsidR="00FF6178">
        <w:t xml:space="preserve"> require the</w:t>
      </w:r>
      <w:r w:rsidR="00F06878">
        <w:t xml:space="preserve"> foreign</w:t>
      </w:r>
      <w:r w:rsidR="00FF6178">
        <w:t xml:space="preserve"> investor or audit firm </w:t>
      </w:r>
      <w:r w:rsidR="00F06878">
        <w:t xml:space="preserve">provide </w:t>
      </w:r>
      <w:r w:rsidR="00FF6178">
        <w:t>information and</w:t>
      </w:r>
      <w:r w:rsidR="00F06878">
        <w:t xml:space="preserve">/or </w:t>
      </w:r>
      <w:r w:rsidR="00FF6178">
        <w:t>records to check the accuracy of the audit report findings</w:t>
      </w:r>
      <w:r w:rsidRPr="00812BB7">
        <w:t xml:space="preserve">, it will not be party to the audit. </w:t>
      </w:r>
    </w:p>
    <w:p w14:paraId="6723483D" w14:textId="39A8A425" w:rsidR="004B1102" w:rsidRPr="00812BB7" w:rsidRDefault="004B1102" w:rsidP="00FA4AE6">
      <w:r w:rsidRPr="00812BB7">
        <w:t>It is open to an investor to propose different firms to undertake different aspects of the required audit, so long as compliance with all relevant conditions is assessed. Such proposals would not be automatically agreed to by the Commonwealth, but agreement will not be unreasonably withheld. We encourage investors to engage with us early in this process</w:t>
      </w:r>
      <w:r w:rsidR="001874CA">
        <w:t>. T</w:t>
      </w:r>
      <w:r w:rsidRPr="00812BB7">
        <w:t>o facilitate approvals in a timely manner, unless otherwise mandated by the conditions</w:t>
      </w:r>
      <w:r w:rsidR="004C6EC0">
        <w:t>,</w:t>
      </w:r>
      <w:r w:rsidR="00D865FC">
        <w:t xml:space="preserve"> it is recommended</w:t>
      </w:r>
      <w:r w:rsidR="003972D8">
        <w:t xml:space="preserve"> that</w:t>
      </w:r>
      <w:r w:rsidR="00852BF3">
        <w:t xml:space="preserve"> </w:t>
      </w:r>
      <w:r w:rsidRPr="00812BB7">
        <w:t xml:space="preserve">audit firm/auditor proposals are submitted </w:t>
      </w:r>
      <w:r w:rsidR="00813D66">
        <w:t xml:space="preserve">to Treasury </w:t>
      </w:r>
      <w:r w:rsidRPr="00812BB7">
        <w:t xml:space="preserve">for review at least 120 </w:t>
      </w:r>
      <w:r w:rsidRPr="008924B1">
        <w:t>days</w:t>
      </w:r>
      <w:r w:rsidRPr="00812BB7">
        <w:t xml:space="preserve"> before the end of the relevant reporting period</w:t>
      </w:r>
      <w:r w:rsidR="003972D8">
        <w:t>.</w:t>
      </w:r>
    </w:p>
    <w:p w14:paraId="4F972C11" w14:textId="552774BC" w:rsidR="004B1102" w:rsidRPr="00812BB7" w:rsidRDefault="004B1102" w:rsidP="008924B1">
      <w:r w:rsidRPr="00812BB7">
        <w:t>The Commonwealth is unable to provide a list of preferred audit</w:t>
      </w:r>
      <w:r w:rsidR="003972D8">
        <w:t xml:space="preserve"> firms</w:t>
      </w:r>
      <w:r w:rsidRPr="00812BB7">
        <w:t>, however, investors may wish to contact auditing or other relevant professional associations if they require any assistance in this regard.</w:t>
      </w:r>
      <w:r w:rsidRPr="00812BB7">
        <w:rPr>
          <w:rStyle w:val="CommentReference"/>
          <w:rFonts w:eastAsiaTheme="majorEastAsia"/>
        </w:rPr>
        <w:t xml:space="preserve"> </w:t>
      </w:r>
    </w:p>
    <w:p w14:paraId="75827532" w14:textId="0910DCBA" w:rsidR="004B1102" w:rsidRPr="00812BB7" w:rsidRDefault="004B1102" w:rsidP="00294D1D">
      <w:r w:rsidRPr="00812BB7">
        <w:t>The guidance provided above is general guidance and not all criteria will be applicable in all circumstances. It should be read in conjunction with the relevant no objection notification or exemption certificate issued to a particular</w:t>
      </w:r>
      <w:r w:rsidR="0063187A">
        <w:t xml:space="preserve"> foreign</w:t>
      </w:r>
      <w:r w:rsidRPr="00812BB7">
        <w:t xml:space="preserve"> investor. </w:t>
      </w:r>
    </w:p>
    <w:p w14:paraId="28D6E405" w14:textId="77777777" w:rsidR="004B1102" w:rsidRPr="00812BB7" w:rsidRDefault="004B1102" w:rsidP="00994A0C">
      <w:pPr>
        <w:pStyle w:val="Heading3"/>
        <w:spacing w:line="240" w:lineRule="auto"/>
      </w:pPr>
      <w:r w:rsidRPr="00812BB7">
        <w:t>Factors the Commonwealth is likely to consider in determining whether to approve the scope of works for an audit</w:t>
      </w:r>
    </w:p>
    <w:p w14:paraId="56F65A2C" w14:textId="65B62916" w:rsidR="004B1102" w:rsidRPr="00812BB7" w:rsidRDefault="004B1102" w:rsidP="00294D1D">
      <w:r w:rsidRPr="00812BB7">
        <w:t xml:space="preserve">Amongst other factors, the Commonwealth would expect that the </w:t>
      </w:r>
      <w:r w:rsidR="00C67791">
        <w:t xml:space="preserve">independent audit proposal </w:t>
      </w:r>
      <w:r w:rsidRPr="00812BB7">
        <w:t xml:space="preserve">for an audit should: </w:t>
      </w:r>
    </w:p>
    <w:p w14:paraId="43EE3954" w14:textId="49AD272F" w:rsidR="004B1102" w:rsidRPr="00A44D83" w:rsidRDefault="004B1102" w:rsidP="00A44D83">
      <w:pPr>
        <w:pStyle w:val="ListParagraph"/>
        <w:numPr>
          <w:ilvl w:val="0"/>
          <w:numId w:val="19"/>
        </w:numPr>
        <w:ind w:left="357" w:hanging="357"/>
        <w:contextualSpacing w:val="0"/>
        <w:rPr>
          <w:rFonts w:cstheme="minorHAnsi"/>
        </w:rPr>
      </w:pPr>
      <w:r w:rsidRPr="00A44D83">
        <w:rPr>
          <w:rFonts w:cstheme="minorHAnsi"/>
        </w:rPr>
        <w:t xml:space="preserve">Outline the level of assurance to be provided, with reference to </w:t>
      </w:r>
      <w:hyperlink r:id="rId15">
        <w:r w:rsidRPr="00A44D83">
          <w:rPr>
            <w:rFonts w:cstheme="minorHAnsi"/>
          </w:rPr>
          <w:t xml:space="preserve">the </w:t>
        </w:r>
      </w:hyperlink>
      <w:hyperlink r:id="rId16">
        <w:r w:rsidRPr="00A44D83">
          <w:rPr>
            <w:rFonts w:cstheme="minorHAnsi"/>
            <w:i/>
          </w:rPr>
          <w:t xml:space="preserve">Framework for </w:t>
        </w:r>
      </w:hyperlink>
      <w:hyperlink r:id="rId17">
        <w:r w:rsidRPr="00A44D83">
          <w:rPr>
            <w:rFonts w:cstheme="minorHAnsi"/>
            <w:i/>
          </w:rPr>
          <w:t>Assurance Engagements</w:t>
        </w:r>
      </w:hyperlink>
      <w:hyperlink r:id="rId18">
        <w:r w:rsidRPr="00A44D83">
          <w:rPr>
            <w:rFonts w:cstheme="minorHAnsi"/>
          </w:rPr>
          <w:t xml:space="preserve"> </w:t>
        </w:r>
      </w:hyperlink>
      <w:r w:rsidRPr="00A44D83">
        <w:rPr>
          <w:rFonts w:cstheme="minorHAnsi"/>
        </w:rPr>
        <w:t xml:space="preserve">issued by the Auditing and Assurance Standards Board. The Commonwealth recommends adopting the ASAE3100 </w:t>
      </w:r>
      <w:r w:rsidR="002F7018">
        <w:rPr>
          <w:rFonts w:cstheme="minorHAnsi"/>
        </w:rPr>
        <w:t xml:space="preserve">Compliance Engagements </w:t>
      </w:r>
      <w:r w:rsidRPr="00A44D83">
        <w:rPr>
          <w:rFonts w:cstheme="minorHAnsi"/>
        </w:rPr>
        <w:t xml:space="preserve">for independent </w:t>
      </w:r>
      <w:r w:rsidR="00C67791">
        <w:rPr>
          <w:rFonts w:cstheme="minorHAnsi"/>
        </w:rPr>
        <w:t>a</w:t>
      </w:r>
      <w:r w:rsidRPr="00A44D83">
        <w:rPr>
          <w:rFonts w:cstheme="minorHAnsi"/>
        </w:rPr>
        <w:t>udits required under the Act. While the general expectation is for a</w:t>
      </w:r>
      <w:r w:rsidR="002F7018">
        <w:rPr>
          <w:rFonts w:cstheme="minorHAnsi"/>
        </w:rPr>
        <w:t>ll independent audits to</w:t>
      </w:r>
      <w:r w:rsidR="00424457">
        <w:rPr>
          <w:rFonts w:cstheme="minorHAnsi"/>
        </w:rPr>
        <w:t xml:space="preserve"> </w:t>
      </w:r>
      <w:r w:rsidR="004B059D">
        <w:rPr>
          <w:rFonts w:cstheme="minorHAnsi"/>
        </w:rPr>
        <w:t>be</w:t>
      </w:r>
      <w:r w:rsidRPr="00A44D83">
        <w:rPr>
          <w:rFonts w:cstheme="minorHAnsi"/>
        </w:rPr>
        <w:t xml:space="preserve"> </w:t>
      </w:r>
      <w:r w:rsidRPr="00FA4AE6">
        <w:rPr>
          <w:rFonts w:cstheme="minorHAnsi"/>
          <w:i/>
          <w:iCs/>
        </w:rPr>
        <w:t>reasonable assurance</w:t>
      </w:r>
      <w:r w:rsidRPr="00A44D83">
        <w:rPr>
          <w:rFonts w:cstheme="minorHAnsi"/>
        </w:rPr>
        <w:t xml:space="preserve"> </w:t>
      </w:r>
      <w:r w:rsidR="004B059D">
        <w:rPr>
          <w:rFonts w:cstheme="minorHAnsi"/>
        </w:rPr>
        <w:t>engagements</w:t>
      </w:r>
      <w:r w:rsidRPr="00A44D83">
        <w:rPr>
          <w:rFonts w:cstheme="minorHAnsi"/>
        </w:rPr>
        <w:t xml:space="preserve">, a limited assurance engagement may be appropriate in certain </w:t>
      </w:r>
      <w:r w:rsidR="002F7018">
        <w:rPr>
          <w:rFonts w:cstheme="minorHAnsi"/>
        </w:rPr>
        <w:t xml:space="preserve">limited </w:t>
      </w:r>
      <w:r w:rsidRPr="00A44D83">
        <w:rPr>
          <w:rFonts w:cstheme="minorHAnsi"/>
        </w:rPr>
        <w:t xml:space="preserve">circumstances. </w:t>
      </w:r>
    </w:p>
    <w:p w14:paraId="251A2236" w14:textId="77777777" w:rsidR="004B1102" w:rsidRPr="00812BB7" w:rsidRDefault="004B1102" w:rsidP="00A44D83">
      <w:pPr>
        <w:pStyle w:val="ListParagraph"/>
        <w:numPr>
          <w:ilvl w:val="0"/>
          <w:numId w:val="19"/>
        </w:numPr>
        <w:ind w:left="357" w:hanging="357"/>
        <w:contextualSpacing w:val="0"/>
      </w:pPr>
      <w:r w:rsidRPr="00812BB7">
        <w:t xml:space="preserve">Outline the scope of the audit, including clearly outlining which conditions will be subject to the audit and any proposed exclusions. </w:t>
      </w:r>
    </w:p>
    <w:p w14:paraId="769F2B29" w14:textId="2A99315B" w:rsidR="004B1102" w:rsidRPr="00812BB7" w:rsidRDefault="004B1102" w:rsidP="00A44D83">
      <w:pPr>
        <w:pStyle w:val="ListParagraph"/>
        <w:numPr>
          <w:ilvl w:val="0"/>
          <w:numId w:val="19"/>
        </w:numPr>
        <w:ind w:left="357" w:hanging="357"/>
        <w:contextualSpacing w:val="0"/>
      </w:pPr>
      <w:r w:rsidRPr="00812BB7">
        <w:t xml:space="preserve">Provide the audit methodology used to assess compliance by the </w:t>
      </w:r>
      <w:r w:rsidR="00893763">
        <w:t>foreign investor named in the relevant no objection notification or exemption certificate</w:t>
      </w:r>
      <w:r w:rsidRPr="00812BB7">
        <w:t xml:space="preserve">, having regard to any requirements specified in the conditions. </w:t>
      </w:r>
    </w:p>
    <w:p w14:paraId="6F255E74" w14:textId="77777777" w:rsidR="008F2145" w:rsidRPr="008F2145" w:rsidRDefault="004B1102" w:rsidP="00A44D83">
      <w:pPr>
        <w:pStyle w:val="ListParagraph"/>
        <w:numPr>
          <w:ilvl w:val="0"/>
          <w:numId w:val="19"/>
        </w:numPr>
        <w:ind w:left="357" w:hanging="357"/>
        <w:contextualSpacing w:val="0"/>
        <w:rPr>
          <w:rFonts w:cstheme="minorHAnsi"/>
        </w:rPr>
      </w:pPr>
      <w:r w:rsidRPr="00812BB7">
        <w:t>Detail the audit procedures used to assess compliance with conditions. The Commonwealth expects auditors to</w:t>
      </w:r>
      <w:r w:rsidR="008F2145">
        <w:t>:</w:t>
      </w:r>
    </w:p>
    <w:p w14:paraId="36A0097B" w14:textId="032A8292" w:rsidR="008F2145" w:rsidRPr="008F2145" w:rsidRDefault="004B1102" w:rsidP="00E40E7C">
      <w:pPr>
        <w:pStyle w:val="Bullet"/>
        <w:numPr>
          <w:ilvl w:val="1"/>
          <w:numId w:val="3"/>
        </w:numPr>
        <w:rPr>
          <w:rFonts w:cstheme="minorHAnsi"/>
        </w:rPr>
      </w:pPr>
      <w:r w:rsidRPr="00812BB7">
        <w:t>review the design and implementation of compliance controls</w:t>
      </w:r>
      <w:r w:rsidR="00037A38">
        <w:t xml:space="preserve">. </w:t>
      </w:r>
      <w:r w:rsidR="00037A38" w:rsidRPr="00A44D83">
        <w:rPr>
          <w:rFonts w:cstheme="minorHAnsi"/>
        </w:rPr>
        <w:t>This includes for example, reviewing not only the policies and procedures, but also reviewing evidence that policies and procedures have been implemented and complied with</w:t>
      </w:r>
      <w:r w:rsidR="00037A38">
        <w:rPr>
          <w:rFonts w:cstheme="minorHAnsi"/>
        </w:rPr>
        <w:t>,</w:t>
      </w:r>
    </w:p>
    <w:p w14:paraId="232EB5C7" w14:textId="44C8C554" w:rsidR="005A352B" w:rsidRPr="005A352B" w:rsidRDefault="00D40F6A" w:rsidP="00E40E7C">
      <w:pPr>
        <w:pStyle w:val="Bullet"/>
        <w:numPr>
          <w:ilvl w:val="1"/>
          <w:numId w:val="3"/>
        </w:numPr>
        <w:rPr>
          <w:rFonts w:cstheme="minorHAnsi"/>
        </w:rPr>
      </w:pPr>
      <w:r>
        <w:t>test the effectiveness of any/all controls implemented</w:t>
      </w:r>
      <w:r w:rsidR="00242738">
        <w:t>,</w:t>
      </w:r>
      <w:r w:rsidR="004B1102" w:rsidRPr="00812BB7">
        <w:t xml:space="preserve"> </w:t>
      </w:r>
    </w:p>
    <w:p w14:paraId="6BE0737D" w14:textId="13094EB1" w:rsidR="004F6AB3" w:rsidRPr="00991C31" w:rsidRDefault="008876B8" w:rsidP="00E40E7C">
      <w:pPr>
        <w:pStyle w:val="Bullet"/>
        <w:numPr>
          <w:ilvl w:val="1"/>
          <w:numId w:val="3"/>
        </w:numPr>
        <w:rPr>
          <w:rFonts w:cstheme="minorHAnsi"/>
        </w:rPr>
      </w:pPr>
      <w:r>
        <w:t>document their audit findings</w:t>
      </w:r>
      <w:r w:rsidR="00991C31">
        <w:t xml:space="preserve"> and draw</w:t>
      </w:r>
      <w:r w:rsidR="00852BF3">
        <w:t xml:space="preserve"> </w:t>
      </w:r>
      <w:r w:rsidR="004B1102" w:rsidRPr="00812BB7">
        <w:t>conclusions</w:t>
      </w:r>
      <w:r w:rsidR="004F53E5">
        <w:t xml:space="preserve"> on the foreign investor’s compliance with each condition </w:t>
      </w:r>
      <w:r w:rsidR="00CB36EB">
        <w:t xml:space="preserve">imposed for the </w:t>
      </w:r>
      <w:r w:rsidR="00D14705">
        <w:t>duration of the audit period</w:t>
      </w:r>
      <w:r w:rsidR="00037A38">
        <w:t>,</w:t>
      </w:r>
      <w:r w:rsidR="004F6AB3">
        <w:t xml:space="preserve"> and </w:t>
      </w:r>
    </w:p>
    <w:p w14:paraId="5347B0EA" w14:textId="1F3ED370" w:rsidR="004B1102" w:rsidRPr="00A44D83" w:rsidRDefault="004F6AB3" w:rsidP="00E40E7C">
      <w:pPr>
        <w:pStyle w:val="Bullet"/>
        <w:numPr>
          <w:ilvl w:val="1"/>
          <w:numId w:val="3"/>
        </w:numPr>
        <w:rPr>
          <w:rFonts w:cstheme="minorHAnsi"/>
        </w:rPr>
      </w:pPr>
      <w:r>
        <w:lastRenderedPageBreak/>
        <w:t>prepare an audit report</w:t>
      </w:r>
      <w:r w:rsidR="00242738">
        <w:t xml:space="preserve"> </w:t>
      </w:r>
      <w:r w:rsidR="00D14705">
        <w:t>containing the above information</w:t>
      </w:r>
      <w:r w:rsidR="00473E3A">
        <w:t xml:space="preserve"> in a suitable format to be submitted to Treasury</w:t>
      </w:r>
      <w:r w:rsidR="004B1102" w:rsidRPr="00812BB7">
        <w:t>.</w:t>
      </w:r>
      <w:r w:rsidR="00B25A71">
        <w:t xml:space="preserve"> Audit firms will adopt a </w:t>
      </w:r>
      <w:r w:rsidR="00CA5AA8">
        <w:t>reporting format</w:t>
      </w:r>
      <w:r w:rsidR="00E01857">
        <w:t xml:space="preserve"> catered</w:t>
      </w:r>
      <w:r w:rsidR="00CA5AA8">
        <w:t xml:space="preserve"> to the specific requirements </w:t>
      </w:r>
      <w:r w:rsidR="00364259">
        <w:t xml:space="preserve">of the audit and </w:t>
      </w:r>
      <w:r w:rsidR="00E01857">
        <w:t xml:space="preserve">the </w:t>
      </w:r>
      <w:r w:rsidR="00364259">
        <w:t>extent of the work involved</w:t>
      </w:r>
      <w:r w:rsidR="00221F1A">
        <w:t xml:space="preserve"> to ensure they have </w:t>
      </w:r>
      <w:r w:rsidR="00373874">
        <w:t xml:space="preserve">sufficiently </w:t>
      </w:r>
      <w:r w:rsidR="00221F1A">
        <w:t xml:space="preserve">captured all the information required in the report. They </w:t>
      </w:r>
      <w:r w:rsidR="00686A14">
        <w:t xml:space="preserve">may seek to engage with Treasury on </w:t>
      </w:r>
      <w:r w:rsidR="00373874">
        <w:t xml:space="preserve">the format </w:t>
      </w:r>
      <w:r w:rsidR="00686A14">
        <w:t xml:space="preserve">before </w:t>
      </w:r>
      <w:r w:rsidR="00373874">
        <w:t xml:space="preserve">commencing the </w:t>
      </w:r>
      <w:r w:rsidR="00221F1A">
        <w:t>audit report.</w:t>
      </w:r>
      <w:r w:rsidR="00364259">
        <w:t xml:space="preserve"> </w:t>
      </w:r>
    </w:p>
    <w:p w14:paraId="005AE5F1" w14:textId="60B306E9" w:rsidR="004B1102" w:rsidRPr="00812BB7" w:rsidRDefault="004B1102" w:rsidP="00A44D83">
      <w:pPr>
        <w:pStyle w:val="ListParagraph"/>
        <w:numPr>
          <w:ilvl w:val="0"/>
          <w:numId w:val="19"/>
        </w:numPr>
        <w:ind w:left="357" w:hanging="357"/>
        <w:contextualSpacing w:val="0"/>
      </w:pPr>
      <w:r w:rsidRPr="00812BB7">
        <w:t>Specify an appropriate timeframe for completion of the audit and delivery of the audit report</w:t>
      </w:r>
      <w:r w:rsidR="00294D1D">
        <w:t xml:space="preserve">. </w:t>
      </w:r>
    </w:p>
    <w:p w14:paraId="3A33F55D" w14:textId="35A7716C" w:rsidR="004B1102" w:rsidRPr="00812BB7" w:rsidRDefault="004B1102" w:rsidP="00A44D83">
      <w:pPr>
        <w:pStyle w:val="ListParagraph"/>
        <w:numPr>
          <w:ilvl w:val="0"/>
          <w:numId w:val="19"/>
        </w:numPr>
        <w:ind w:left="357" w:hanging="357"/>
        <w:contextualSpacing w:val="0"/>
      </w:pPr>
      <w:r w:rsidRPr="00812BB7">
        <w:t xml:space="preserve">Outline the proposed outcome of the audit, including an assertion about the </w:t>
      </w:r>
      <w:r w:rsidR="005A7F4A">
        <w:t>foreign investor</w:t>
      </w:r>
      <w:r w:rsidR="00BC0C9E">
        <w:t>’</w:t>
      </w:r>
      <w:r w:rsidRPr="00812BB7">
        <w:t>s compliance or non</w:t>
      </w:r>
      <w:r w:rsidR="00294D1D">
        <w:noBreakHyphen/>
      </w:r>
      <w:r w:rsidRPr="00812BB7">
        <w:t xml:space="preserve">compliance with the conditions and where appropriate, recommendations to remediate any deficiencies or risks identified. </w:t>
      </w:r>
    </w:p>
    <w:p w14:paraId="7658CE12" w14:textId="77777777" w:rsidR="004B1102" w:rsidRPr="00812BB7" w:rsidRDefault="004B1102" w:rsidP="00A44D83">
      <w:pPr>
        <w:pStyle w:val="ListParagraph"/>
        <w:numPr>
          <w:ilvl w:val="0"/>
          <w:numId w:val="19"/>
        </w:numPr>
        <w:ind w:left="357" w:hanging="357"/>
        <w:contextualSpacing w:val="0"/>
      </w:pPr>
      <w:r w:rsidRPr="00812BB7">
        <w:t xml:space="preserve">Indicate whether the audit will be conducted remotely (that is, that auditors would not be required to enter premises) or whether site visits will be required. </w:t>
      </w:r>
    </w:p>
    <w:p w14:paraId="47E6763C" w14:textId="77777777" w:rsidR="004B1102" w:rsidRPr="00812BB7" w:rsidRDefault="004B1102" w:rsidP="00294D1D">
      <w:pPr>
        <w:pStyle w:val="Heading3"/>
      </w:pPr>
      <w:r w:rsidRPr="00812BB7">
        <w:t xml:space="preserve">Contact between the Commonwealth and the audit firm </w:t>
      </w:r>
    </w:p>
    <w:p w14:paraId="529C050F" w14:textId="3F4FA147" w:rsidR="004B1102" w:rsidRPr="00812BB7" w:rsidRDefault="004B1102" w:rsidP="00FC2AAE">
      <w:r w:rsidRPr="00812BB7">
        <w:t>In some circumstances, conditions may specify that the Commonwealth can speak directly to the audit</w:t>
      </w:r>
      <w:r w:rsidR="00FD069A">
        <w:t xml:space="preserve"> firm</w:t>
      </w:r>
      <w:r w:rsidR="00980D1F">
        <w:t xml:space="preserve"> </w:t>
      </w:r>
      <w:r w:rsidRPr="00812BB7">
        <w:t>prior to the commencement of any works. A direct line of communication allows Commonwealth representatives to provide appropriate context to the audit</w:t>
      </w:r>
      <w:r w:rsidR="00A24750">
        <w:t xml:space="preserve"> firm</w:t>
      </w:r>
      <w:r w:rsidR="005D3E7F">
        <w:t>.</w:t>
      </w:r>
      <w:r w:rsidRPr="00812BB7">
        <w:t xml:space="preserve"> </w:t>
      </w:r>
    </w:p>
    <w:p w14:paraId="467AF561" w14:textId="77777777" w:rsidR="004B1102" w:rsidRPr="00812BB7" w:rsidRDefault="004B1102" w:rsidP="00294D1D">
      <w:pPr>
        <w:pStyle w:val="Heading2"/>
      </w:pPr>
      <w:bookmarkStart w:id="10" w:name="_Toc190941161"/>
      <w:r w:rsidRPr="00812BB7">
        <w:t>Further information</w:t>
      </w:r>
      <w:bookmarkEnd w:id="10"/>
    </w:p>
    <w:p w14:paraId="76245769" w14:textId="10DFC97F" w:rsidR="004B1102" w:rsidRPr="00091FF2" w:rsidRDefault="004B1102" w:rsidP="00294D1D">
      <w:pPr>
        <w:rPr>
          <w:rFonts w:cs="Calibri Light"/>
        </w:rPr>
      </w:pPr>
      <w:r w:rsidRPr="009E5776">
        <w:rPr>
          <w:rFonts w:cs="Calibri Light"/>
        </w:rPr>
        <w:t xml:space="preserve">If you would like further information on your compliance obligations as a foreign investor, </w:t>
      </w:r>
      <w:r w:rsidR="00994A0C">
        <w:rPr>
          <w:rFonts w:cs="Calibri Light"/>
        </w:rPr>
        <w:br/>
      </w:r>
      <w:r w:rsidRPr="009E5776">
        <w:rPr>
          <w:rFonts w:cs="Calibri Light"/>
        </w:rPr>
        <w:t xml:space="preserve">we encourage you to engage with us </w:t>
      </w:r>
      <w:r w:rsidR="00EB1566">
        <w:rPr>
          <w:rFonts w:cs="Calibri Light"/>
        </w:rPr>
        <w:t>through</w:t>
      </w:r>
      <w:r w:rsidR="007260D7">
        <w:rPr>
          <w:rFonts w:cs="Calibri Light"/>
        </w:rPr>
        <w:t xml:space="preserve"> the Foreign Investment Portal</w:t>
      </w:r>
      <w:r w:rsidR="00BC3A7D">
        <w:rPr>
          <w:rFonts w:cs="Calibri Light"/>
        </w:rPr>
        <w:t xml:space="preserve"> mailbox</w:t>
      </w:r>
      <w:r w:rsidR="00091FF2">
        <w:rPr>
          <w:lang w:val="en"/>
        </w:rPr>
        <w:t>.</w:t>
      </w:r>
    </w:p>
    <w:p w14:paraId="6B3A5ACB" w14:textId="78A5610E" w:rsidR="004B1102" w:rsidRPr="009E5776" w:rsidRDefault="004B1102" w:rsidP="00294D1D">
      <w:pPr>
        <w:rPr>
          <w:rFonts w:cs="Calibri Light"/>
        </w:rPr>
      </w:pPr>
      <w:r w:rsidRPr="00091FF2">
        <w:rPr>
          <w:rFonts w:cs="Calibri Light"/>
        </w:rPr>
        <w:t xml:space="preserve">Further information is available on the </w:t>
      </w:r>
      <w:hyperlink r:id="rId19" w:history="1">
        <w:r w:rsidR="00091FF2" w:rsidRPr="00091FF2">
          <w:rPr>
            <w:rStyle w:val="Hyperlink"/>
            <w:rFonts w:cs="Calibri Light"/>
          </w:rPr>
          <w:t>Foreign Investment website</w:t>
        </w:r>
      </w:hyperlink>
      <w:r w:rsidR="00967E71" w:rsidRPr="009E5776">
        <w:rPr>
          <w:rFonts w:cs="Calibri Light"/>
        </w:rPr>
        <w:t xml:space="preserve"> o</w:t>
      </w:r>
      <w:r w:rsidRPr="009E5776">
        <w:rPr>
          <w:rFonts w:cs="Calibri Light"/>
        </w:rPr>
        <w:t>r by contacting 1800 050 377 from Australia or +61 2 6216 1111 from overseas.</w:t>
      </w:r>
    </w:p>
    <w:p w14:paraId="38B9FD21" w14:textId="77777777" w:rsidR="004B1102" w:rsidRPr="00812BB7" w:rsidRDefault="004B1102" w:rsidP="00294D1D">
      <w:pPr>
        <w:rPr>
          <w:rFonts w:cstheme="minorHAnsi"/>
        </w:rPr>
      </w:pPr>
      <w:r w:rsidRPr="00812BB7">
        <w:rPr>
          <w:b/>
        </w:rPr>
        <w:t>Important notice:</w:t>
      </w:r>
      <w:r w:rsidRPr="00812BB7">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812BB7">
        <w:t>particular circumstances</w:t>
      </w:r>
      <w:proofErr w:type="gramEnd"/>
      <w:r w:rsidRPr="00812BB7">
        <w:t xml:space="preserve"> must be taken into account when determining how the law applies to you. This Guidance Note is therefore not a substitute for obtaining your own legal advice.</w:t>
      </w:r>
    </w:p>
    <w:p w14:paraId="32E92B6E" w14:textId="77777777" w:rsidR="004B1102" w:rsidRPr="00812BB7" w:rsidRDefault="004B1102" w:rsidP="00294D1D">
      <w:pPr>
        <w:rPr>
          <w:rFonts w:eastAsiaTheme="majorEastAsia" w:cstheme="minorHAnsi"/>
          <w:b/>
          <w:bCs/>
          <w:color w:val="212937" w:themeColor="accent1" w:themeShade="BF"/>
        </w:rPr>
      </w:pPr>
      <w:r w:rsidRPr="00812BB7">
        <w:rPr>
          <w:rFonts w:cstheme="minorHAnsi"/>
        </w:rPr>
        <w:br w:type="page"/>
      </w:r>
    </w:p>
    <w:p w14:paraId="3633DA6D" w14:textId="6FD709FC" w:rsidR="004B1102" w:rsidRPr="00812BB7" w:rsidRDefault="004B1102" w:rsidP="00294D1D">
      <w:pPr>
        <w:pStyle w:val="Heading2"/>
        <w:rPr>
          <w:lang w:val="en"/>
        </w:rPr>
      </w:pPr>
      <w:bookmarkStart w:id="11" w:name="_Thresholds_for_agribusiness"/>
      <w:bookmarkStart w:id="12" w:name="_Toc190941162"/>
      <w:bookmarkEnd w:id="11"/>
      <w:r w:rsidRPr="00812BB7">
        <w:rPr>
          <w:lang w:val="en"/>
        </w:rPr>
        <w:lastRenderedPageBreak/>
        <w:t xml:space="preserve">Attachment A: </w:t>
      </w:r>
      <w:r w:rsidRPr="00812BB7">
        <w:t>Compliance</w:t>
      </w:r>
      <w:r w:rsidRPr="00812BB7">
        <w:rPr>
          <w:lang w:val="en"/>
        </w:rPr>
        <w:t xml:space="preserve"> report </w:t>
      </w:r>
      <w:r w:rsidR="001F41D9">
        <w:rPr>
          <w:lang w:val="en"/>
        </w:rPr>
        <w:t xml:space="preserve">template </w:t>
      </w:r>
      <w:r w:rsidRPr="00812BB7">
        <w:rPr>
          <w:lang w:val="en"/>
        </w:rPr>
        <w:t>on foreign investment conditions</w:t>
      </w:r>
      <w:bookmarkEnd w:id="12"/>
    </w:p>
    <w:p w14:paraId="7E4F5BAA" w14:textId="063972B2" w:rsidR="004B1102" w:rsidRPr="00812BB7" w:rsidRDefault="004B1102" w:rsidP="3C226C43">
      <w:pPr>
        <w:rPr>
          <w:lang w:val="en-US"/>
        </w:rPr>
      </w:pPr>
      <w:r w:rsidRPr="3C226C43">
        <w:rPr>
          <w:lang w:val="en-US"/>
        </w:rPr>
        <w:t>This template is not a prescribed form for preparing a compliance report. However, it may be used as guidance for the structure and content of such a report under tax and other reporting conditions</w:t>
      </w:r>
      <w:r w:rsidR="009366CD">
        <w:rPr>
          <w:lang w:val="en-US"/>
        </w:rPr>
        <w:t xml:space="preserve"> (excluding independent audit reporting)</w:t>
      </w:r>
      <w:r w:rsidRPr="3C226C43">
        <w:rPr>
          <w:lang w:val="en-US"/>
        </w:rPr>
        <w:t xml:space="preserve">. The </w:t>
      </w:r>
      <w:proofErr w:type="spellStart"/>
      <w:r w:rsidRPr="3C226C43">
        <w:rPr>
          <w:lang w:val="en-US"/>
        </w:rPr>
        <w:t>italicised</w:t>
      </w:r>
      <w:proofErr w:type="spellEnd"/>
      <w:r w:rsidRPr="3C226C43">
        <w:rPr>
          <w:lang w:val="en-US"/>
        </w:rPr>
        <w:t xml:space="preserve"> text is to provide further explanation and examples, and should not be left in the compliance report that is submitted.</w:t>
      </w:r>
    </w:p>
    <w:p w14:paraId="457C8151" w14:textId="0CA38BCC" w:rsidR="004B1102" w:rsidRPr="00812BB7" w:rsidRDefault="00FE154D" w:rsidP="3C226C43">
      <w:pPr>
        <w:rPr>
          <w:lang w:val="en-US"/>
        </w:rPr>
      </w:pPr>
      <w:r>
        <w:rPr>
          <w:lang w:val="en-US"/>
        </w:rPr>
        <w:t xml:space="preserve">In relation to </w:t>
      </w:r>
      <w:r w:rsidR="005427E8">
        <w:rPr>
          <w:lang w:val="en-US"/>
        </w:rPr>
        <w:t>any reporting requirements imposed by conditions under a relevant no objection notification or exemption certificate (including independent audit reporting), w</w:t>
      </w:r>
      <w:r w:rsidR="004B1102" w:rsidRPr="3C226C43">
        <w:rPr>
          <w:lang w:val="en-US"/>
        </w:rPr>
        <w:t>here a foreign investor has multiple no objection notifications in relation to one transaction or related transactions, the investor may seek Treasury</w:t>
      </w:r>
      <w:r w:rsidR="660AE57F" w:rsidRPr="3C226C43">
        <w:rPr>
          <w:lang w:val="en-US"/>
        </w:rPr>
        <w:t>’</w:t>
      </w:r>
      <w:r w:rsidR="004B1102" w:rsidRPr="3C226C43">
        <w:rPr>
          <w:lang w:val="en-US"/>
        </w:rPr>
        <w:t xml:space="preserve">s consent to prepare </w:t>
      </w:r>
      <w:r w:rsidR="00B350D9">
        <w:rPr>
          <w:lang w:val="en-US"/>
        </w:rPr>
        <w:t xml:space="preserve">a single </w:t>
      </w:r>
      <w:r w:rsidR="004B1102" w:rsidRPr="3C226C43">
        <w:rPr>
          <w:lang w:val="en-US"/>
        </w:rPr>
        <w:t>report</w:t>
      </w:r>
      <w:r w:rsidR="009701AE">
        <w:rPr>
          <w:lang w:val="en-US"/>
        </w:rPr>
        <w:t xml:space="preserve">. </w:t>
      </w:r>
      <w:r w:rsidR="004B1102" w:rsidRPr="3C226C43">
        <w:rPr>
          <w:lang w:val="en-US"/>
        </w:rPr>
        <w:t xml:space="preserve"> For example, if Investor A is acquiring multiple Australian entities in a corporate group, they may receive a no objection notification for each acquisition. If all of these no objection notifications are subject to the same</w:t>
      </w:r>
      <w:r w:rsidR="00B73754">
        <w:rPr>
          <w:lang w:val="en-US"/>
        </w:rPr>
        <w:t xml:space="preserve"> or similar</w:t>
      </w:r>
      <w:r w:rsidR="004B1102" w:rsidRPr="3C226C43">
        <w:rPr>
          <w:lang w:val="en-US"/>
        </w:rPr>
        <w:t xml:space="preserve"> conditions and have the same reporting obligations, then, subject to Treasury</w:t>
      </w:r>
      <w:r w:rsidR="660AE57F" w:rsidRPr="3C226C43">
        <w:rPr>
          <w:lang w:val="en-US"/>
        </w:rPr>
        <w:t>’</w:t>
      </w:r>
      <w:r w:rsidR="004B1102" w:rsidRPr="3C226C43">
        <w:rPr>
          <w:lang w:val="en-US"/>
        </w:rPr>
        <w:t xml:space="preserve">s consent, the </w:t>
      </w:r>
      <w:r w:rsidR="00B73754">
        <w:rPr>
          <w:lang w:val="en-US"/>
        </w:rPr>
        <w:t xml:space="preserve">foreign </w:t>
      </w:r>
      <w:r w:rsidR="004B1102" w:rsidRPr="3C226C43">
        <w:rPr>
          <w:lang w:val="en-US"/>
        </w:rPr>
        <w:t xml:space="preserve">investor may be able to prepare </w:t>
      </w:r>
      <w:r w:rsidR="00B73754">
        <w:rPr>
          <w:lang w:val="en-US"/>
        </w:rPr>
        <w:t xml:space="preserve">a single </w:t>
      </w:r>
      <w:r w:rsidR="004B1102" w:rsidRPr="3C226C43">
        <w:rPr>
          <w:lang w:val="en-US"/>
        </w:rPr>
        <w:t>report in relation to all of these no objection notifications</w:t>
      </w:r>
      <w:r w:rsidR="00B73754">
        <w:rPr>
          <w:lang w:val="en-US"/>
        </w:rPr>
        <w:t xml:space="preserve"> provided the single report </w:t>
      </w:r>
      <w:r w:rsidR="008A6AFC">
        <w:rPr>
          <w:lang w:val="en-US"/>
        </w:rPr>
        <w:t>clearly</w:t>
      </w:r>
      <w:r w:rsidR="00587016">
        <w:rPr>
          <w:lang w:val="en-US"/>
        </w:rPr>
        <w:t xml:space="preserve"> </w:t>
      </w:r>
      <w:r w:rsidR="008A6AFC">
        <w:rPr>
          <w:lang w:val="en-US"/>
        </w:rPr>
        <w:t xml:space="preserve">sets out the </w:t>
      </w:r>
      <w:r w:rsidR="00B73754">
        <w:rPr>
          <w:lang w:val="en-US"/>
        </w:rPr>
        <w:t>foreign investor’s compliance with each condition under each no objection notification</w:t>
      </w:r>
      <w:r w:rsidR="0073272A">
        <w:rPr>
          <w:lang w:val="en-US"/>
        </w:rPr>
        <w:t xml:space="preserve">, including </w:t>
      </w:r>
      <w:r w:rsidR="008F5AB7">
        <w:rPr>
          <w:lang w:val="en-US"/>
        </w:rPr>
        <w:t xml:space="preserve">separate </w:t>
      </w:r>
      <w:r w:rsidR="0073272A">
        <w:rPr>
          <w:lang w:val="en-US"/>
        </w:rPr>
        <w:t xml:space="preserve">findings relevant to </w:t>
      </w:r>
      <w:r w:rsidR="008F5AB7">
        <w:rPr>
          <w:lang w:val="en-US"/>
        </w:rPr>
        <w:t xml:space="preserve">their compliance with </w:t>
      </w:r>
      <w:r w:rsidR="0073272A">
        <w:rPr>
          <w:lang w:val="en-US"/>
        </w:rPr>
        <w:t>each conditions</w:t>
      </w:r>
      <w:r w:rsidR="008F5AB7">
        <w:rPr>
          <w:lang w:val="en-US"/>
        </w:rPr>
        <w:t xml:space="preserve"> in the case of submitting a single independent audit report</w:t>
      </w:r>
      <w:r w:rsidR="00B73754">
        <w:rPr>
          <w:lang w:val="en-US"/>
        </w:rPr>
        <w:t xml:space="preserve">. </w:t>
      </w:r>
    </w:p>
    <w:p w14:paraId="5479E44E" w14:textId="77777777" w:rsidR="004B1102" w:rsidRPr="00812BB7" w:rsidRDefault="004B1102" w:rsidP="00294D1D">
      <w:pPr>
        <w:pStyle w:val="Heading2"/>
        <w:rPr>
          <w:lang w:val="en"/>
        </w:rPr>
      </w:pPr>
      <w:bookmarkStart w:id="13" w:name="_Toc190938614"/>
      <w:bookmarkStart w:id="14" w:name="_Toc190941163"/>
      <w:r w:rsidRPr="00812BB7">
        <w:t>Compliance</w:t>
      </w:r>
      <w:r w:rsidRPr="00812BB7">
        <w:rPr>
          <w:lang w:val="en"/>
        </w:rPr>
        <w:t xml:space="preserve"> Report Template</w:t>
      </w:r>
      <w:bookmarkEnd w:id="13"/>
      <w:bookmarkEnd w:id="14"/>
    </w:p>
    <w:p w14:paraId="6338630B" w14:textId="77777777" w:rsidR="004B1102" w:rsidRPr="00197921" w:rsidRDefault="004B1102" w:rsidP="00294D1D">
      <w:pPr>
        <w:rPr>
          <w:rFonts w:cs="Calibri Light"/>
          <w:lang w:val="en"/>
        </w:rPr>
      </w:pPr>
      <w:r w:rsidRPr="00197921">
        <w:rPr>
          <w:rStyle w:val="Strong"/>
          <w:rFonts w:eastAsiaTheme="majorEastAsia" w:cs="Calibri Light"/>
          <w:color w:val="212529"/>
          <w:lang w:val="en"/>
        </w:rPr>
        <w:t>Investor:</w:t>
      </w:r>
      <w:r w:rsidRPr="00197921">
        <w:rPr>
          <w:rFonts w:cs="Calibri Light"/>
          <w:color w:val="212529"/>
          <w:lang w:val="en"/>
        </w:rPr>
        <w:t xml:space="preserve"> Foreign Investor Plc</w:t>
      </w:r>
    </w:p>
    <w:p w14:paraId="053C8D9E" w14:textId="77777777" w:rsidR="004B1102" w:rsidRPr="00197921" w:rsidRDefault="004B1102" w:rsidP="00294D1D">
      <w:pPr>
        <w:rPr>
          <w:rFonts w:cs="Calibri Light"/>
          <w:lang w:val="en"/>
        </w:rPr>
      </w:pPr>
      <w:r w:rsidRPr="00197921">
        <w:rPr>
          <w:rStyle w:val="Strong"/>
          <w:rFonts w:eastAsiaTheme="majorEastAsia" w:cs="Calibri Light"/>
          <w:color w:val="212529"/>
          <w:lang w:val="en"/>
        </w:rPr>
        <w:t>Ref:</w:t>
      </w:r>
      <w:r w:rsidRPr="00197921">
        <w:rPr>
          <w:rFonts w:cs="Calibri Light"/>
          <w:lang w:val="en"/>
        </w:rPr>
        <w:t xml:space="preserve"> FI20XX/XXXXX </w:t>
      </w:r>
      <w:r w:rsidRPr="00197921">
        <w:rPr>
          <w:rStyle w:val="Emphasis"/>
          <w:rFonts w:cs="Calibri Light"/>
          <w:color w:val="212529"/>
          <w:lang w:val="en"/>
        </w:rPr>
        <w:t>[include any other relevant approvals]</w:t>
      </w:r>
    </w:p>
    <w:p w14:paraId="7F119A18" w14:textId="77777777" w:rsidR="004B1102" w:rsidRPr="00197921" w:rsidRDefault="004B1102" w:rsidP="00294D1D">
      <w:pPr>
        <w:rPr>
          <w:rFonts w:cs="Calibri Light"/>
          <w:lang w:val="en"/>
        </w:rPr>
      </w:pPr>
      <w:r w:rsidRPr="00197921">
        <w:rPr>
          <w:rStyle w:val="Strong"/>
          <w:rFonts w:eastAsiaTheme="majorEastAsia" w:cs="Calibri Light"/>
          <w:color w:val="212529"/>
          <w:lang w:val="en"/>
        </w:rPr>
        <w:t xml:space="preserve">Reporting Year/period: </w:t>
      </w:r>
      <w:r w:rsidRPr="00197921">
        <w:rPr>
          <w:rFonts w:cs="Calibri Light"/>
          <w:lang w:val="en"/>
        </w:rPr>
        <w:t>DD/MM/YYYY – DD/MM/YYYY</w:t>
      </w:r>
    </w:p>
    <w:p w14:paraId="615197A8" w14:textId="77777777" w:rsidR="004B1102" w:rsidRPr="00197921" w:rsidRDefault="004B1102" w:rsidP="00294D1D">
      <w:pPr>
        <w:rPr>
          <w:rFonts w:cs="Calibri Light"/>
          <w:lang w:val="en"/>
        </w:rPr>
      </w:pPr>
      <w:r w:rsidRPr="00197921">
        <w:rPr>
          <w:rStyle w:val="Strong"/>
          <w:rFonts w:eastAsiaTheme="majorEastAsia" w:cs="Calibri Light"/>
          <w:color w:val="212529"/>
          <w:lang w:val="en"/>
        </w:rPr>
        <w:t>Date report due:</w:t>
      </w:r>
      <w:r w:rsidRPr="00197921">
        <w:rPr>
          <w:rFonts w:cs="Calibri Light"/>
          <w:lang w:val="en"/>
        </w:rPr>
        <w:t xml:space="preserve"> DD/MM/YYYY</w:t>
      </w:r>
    </w:p>
    <w:p w14:paraId="1233FB80" w14:textId="77777777" w:rsidR="004B1102" w:rsidRPr="00197921" w:rsidRDefault="004B1102" w:rsidP="3C226C43">
      <w:pPr>
        <w:rPr>
          <w:rFonts w:cs="Calibri Light"/>
          <w:lang w:val="en-US"/>
        </w:rPr>
      </w:pPr>
      <w:r w:rsidRPr="3C226C43">
        <w:rPr>
          <w:rStyle w:val="Strong"/>
          <w:rFonts w:eastAsiaTheme="majorEastAsia" w:cs="Calibri Light"/>
          <w:color w:val="212529"/>
          <w:lang w:val="en-US"/>
        </w:rPr>
        <w:t>Actions in this report:</w:t>
      </w:r>
      <w:r w:rsidRPr="3C226C43">
        <w:rPr>
          <w:rFonts w:cs="Calibri Light"/>
          <w:lang w:val="en-US"/>
        </w:rPr>
        <w:t> </w:t>
      </w:r>
      <w:r w:rsidRPr="3C226C43">
        <w:rPr>
          <w:rStyle w:val="Emphasis"/>
          <w:rFonts w:cs="Calibri Light"/>
          <w:color w:val="212529"/>
          <w:lang w:val="en-US"/>
        </w:rPr>
        <w:t>[This information is usually required for notifications about when relevant actions or transactions occurred. Please delete if not required]</w:t>
      </w:r>
    </w:p>
    <w:tbl>
      <w:tblPr>
        <w:tblStyle w:val="TableGrid"/>
        <w:tblW w:w="5000" w:type="pct"/>
        <w:tblLayout w:type="fixed"/>
        <w:tblLook w:val="04A0" w:firstRow="1" w:lastRow="0" w:firstColumn="1" w:lastColumn="0" w:noHBand="0" w:noVBand="1"/>
      </w:tblPr>
      <w:tblGrid>
        <w:gridCol w:w="1212"/>
        <w:gridCol w:w="1213"/>
        <w:gridCol w:w="1215"/>
        <w:gridCol w:w="1213"/>
        <w:gridCol w:w="1215"/>
        <w:gridCol w:w="1213"/>
        <w:gridCol w:w="1213"/>
      </w:tblGrid>
      <w:tr w:rsidR="00696C60" w:rsidRPr="00197921" w14:paraId="7B28E1FB" w14:textId="77777777" w:rsidTr="0677F1D3">
        <w:tc>
          <w:tcPr>
            <w:tcW w:w="714" w:type="pct"/>
            <w:tcMar>
              <w:top w:w="57" w:type="dxa"/>
              <w:left w:w="57" w:type="dxa"/>
              <w:bottom w:w="57" w:type="dxa"/>
              <w:right w:w="57" w:type="dxa"/>
            </w:tcMar>
          </w:tcPr>
          <w:p w14:paraId="7927A624" w14:textId="011DBC6D" w:rsidR="006B654B" w:rsidRPr="00197921" w:rsidRDefault="00696C60" w:rsidP="006B654B">
            <w:pPr>
              <w:pStyle w:val="BoxText"/>
              <w:jc w:val="center"/>
              <w:rPr>
                <w:rFonts w:cs="Calibri Light"/>
                <w:i/>
                <w:iCs/>
              </w:rPr>
            </w:pPr>
            <w:r w:rsidRPr="00197921">
              <w:rPr>
                <w:rFonts w:cs="Calibri Light"/>
                <w:b/>
                <w:bCs/>
              </w:rPr>
              <w:t>Action</w:t>
            </w:r>
          </w:p>
          <w:p w14:paraId="79C78D5C" w14:textId="476B444A" w:rsidR="00696C60" w:rsidRPr="00197921" w:rsidRDefault="00696C60" w:rsidP="006B654B">
            <w:pPr>
              <w:pStyle w:val="BoxText"/>
              <w:jc w:val="center"/>
              <w:rPr>
                <w:rFonts w:eastAsiaTheme="majorEastAsia" w:cs="Calibri Light"/>
                <w:i/>
                <w:iCs/>
              </w:rPr>
            </w:pPr>
            <w:r w:rsidRPr="00197921">
              <w:rPr>
                <w:rFonts w:cs="Calibri Light"/>
                <w:i/>
                <w:iCs/>
              </w:rPr>
              <w:t>[a description of the action/s taken under the no objection notification /s/ exemption certificate]</w:t>
            </w:r>
          </w:p>
        </w:tc>
        <w:tc>
          <w:tcPr>
            <w:tcW w:w="714" w:type="pct"/>
            <w:tcMar>
              <w:top w:w="57" w:type="dxa"/>
              <w:left w:w="57" w:type="dxa"/>
              <w:bottom w:w="57" w:type="dxa"/>
              <w:right w:w="57" w:type="dxa"/>
            </w:tcMar>
          </w:tcPr>
          <w:p w14:paraId="34CEAA2D" w14:textId="77777777" w:rsidR="006B654B" w:rsidRPr="00197921" w:rsidRDefault="00696C60" w:rsidP="006B654B">
            <w:pPr>
              <w:pStyle w:val="BoxText"/>
              <w:jc w:val="center"/>
              <w:rPr>
                <w:rFonts w:cs="Calibri Light"/>
                <w:i/>
                <w:iCs/>
              </w:rPr>
            </w:pPr>
            <w:r w:rsidRPr="00197921">
              <w:rPr>
                <w:rFonts w:cs="Calibri Light"/>
                <w:b/>
                <w:bCs/>
              </w:rPr>
              <w:t>Approval</w:t>
            </w:r>
          </w:p>
          <w:p w14:paraId="77870192" w14:textId="5BCBCEF0" w:rsidR="00696C60" w:rsidRPr="00197921" w:rsidRDefault="00696C60" w:rsidP="006B654B">
            <w:pPr>
              <w:pStyle w:val="BoxText"/>
              <w:jc w:val="center"/>
              <w:rPr>
                <w:rFonts w:eastAsiaTheme="majorEastAsia" w:cs="Calibri Light"/>
                <w:i/>
                <w:iCs/>
              </w:rPr>
            </w:pPr>
            <w:r w:rsidRPr="00197921">
              <w:rPr>
                <w:rFonts w:cs="Calibri Light"/>
                <w:i/>
                <w:iCs/>
              </w:rPr>
              <w:t>[the reference of the no objection notification/ exemption certificate for the action]</w:t>
            </w:r>
          </w:p>
        </w:tc>
        <w:tc>
          <w:tcPr>
            <w:tcW w:w="715" w:type="pct"/>
            <w:tcMar>
              <w:top w:w="57" w:type="dxa"/>
              <w:left w:w="57" w:type="dxa"/>
              <w:bottom w:w="57" w:type="dxa"/>
              <w:right w:w="57" w:type="dxa"/>
            </w:tcMar>
          </w:tcPr>
          <w:p w14:paraId="59FE1F54" w14:textId="77777777" w:rsidR="006B654B" w:rsidRPr="00197921" w:rsidRDefault="00696C60" w:rsidP="006B654B">
            <w:pPr>
              <w:pStyle w:val="BoxText"/>
              <w:jc w:val="center"/>
              <w:rPr>
                <w:rFonts w:cs="Calibri Light"/>
                <w:i/>
                <w:iCs/>
              </w:rPr>
            </w:pPr>
            <w:r w:rsidRPr="00197921">
              <w:rPr>
                <w:rFonts w:cs="Calibri Light"/>
                <w:b/>
                <w:bCs/>
              </w:rPr>
              <w:t>Approved</w:t>
            </w:r>
          </w:p>
          <w:p w14:paraId="115447AF" w14:textId="362C3BC7" w:rsidR="00696C60" w:rsidRPr="00197921" w:rsidRDefault="00696C60" w:rsidP="006B654B">
            <w:pPr>
              <w:pStyle w:val="BoxText"/>
              <w:jc w:val="center"/>
              <w:rPr>
                <w:rFonts w:eastAsiaTheme="majorEastAsia" w:cs="Calibri Light"/>
                <w:i/>
                <w:iCs/>
              </w:rPr>
            </w:pPr>
            <w:r w:rsidRPr="00197921">
              <w:rPr>
                <w:rFonts w:cs="Calibri Light"/>
                <w:i/>
                <w:iCs/>
              </w:rPr>
              <w:t>[the date the no objection notification for the action/</w:t>
            </w:r>
            <w:proofErr w:type="spellStart"/>
            <w:r w:rsidRPr="00197921">
              <w:rPr>
                <w:rFonts w:cs="Calibri Light"/>
                <w:i/>
                <w:iCs/>
              </w:rPr>
              <w:t>exem</w:t>
            </w:r>
            <w:proofErr w:type="spellEnd"/>
            <w:r w:rsidRPr="00197921">
              <w:rPr>
                <w:rFonts w:cs="Calibri Light"/>
                <w:i/>
                <w:iCs/>
              </w:rPr>
              <w:t xml:space="preserve"> </w:t>
            </w:r>
            <w:proofErr w:type="spellStart"/>
            <w:r w:rsidRPr="00197921">
              <w:rPr>
                <w:rFonts w:cs="Calibri Light"/>
                <w:i/>
                <w:iCs/>
              </w:rPr>
              <w:t>ption</w:t>
            </w:r>
            <w:proofErr w:type="spellEnd"/>
            <w:r w:rsidRPr="00197921">
              <w:rPr>
                <w:rFonts w:cs="Calibri Light"/>
                <w:i/>
                <w:iCs/>
              </w:rPr>
              <w:t xml:space="preserve"> certificate was issued]</w:t>
            </w:r>
          </w:p>
        </w:tc>
        <w:tc>
          <w:tcPr>
            <w:tcW w:w="714" w:type="pct"/>
            <w:tcMar>
              <w:top w:w="57" w:type="dxa"/>
              <w:left w:w="57" w:type="dxa"/>
              <w:bottom w:w="57" w:type="dxa"/>
              <w:right w:w="57" w:type="dxa"/>
            </w:tcMar>
          </w:tcPr>
          <w:p w14:paraId="4B0DDE9E" w14:textId="77777777" w:rsidR="006B654B" w:rsidRPr="00197921" w:rsidRDefault="00696C60" w:rsidP="006B654B">
            <w:pPr>
              <w:pStyle w:val="BoxText"/>
              <w:jc w:val="center"/>
              <w:rPr>
                <w:rFonts w:cs="Calibri Light"/>
                <w:b/>
                <w:bCs/>
              </w:rPr>
            </w:pPr>
            <w:r w:rsidRPr="00197921">
              <w:rPr>
                <w:rFonts w:cs="Calibri Light"/>
                <w:b/>
                <w:bCs/>
              </w:rPr>
              <w:t>Completed, and by whom</w:t>
            </w:r>
          </w:p>
          <w:p w14:paraId="694ED1F9" w14:textId="20251E73" w:rsidR="00696C60" w:rsidRPr="00197921" w:rsidRDefault="00696C60" w:rsidP="006B654B">
            <w:pPr>
              <w:pStyle w:val="BoxText"/>
              <w:jc w:val="center"/>
              <w:rPr>
                <w:rFonts w:eastAsiaTheme="majorEastAsia" w:cs="Calibri Light"/>
                <w:i/>
                <w:iCs/>
              </w:rPr>
            </w:pPr>
            <w:r w:rsidRPr="00197921">
              <w:rPr>
                <w:rFonts w:cs="Calibri Light"/>
                <w:i/>
                <w:iCs/>
              </w:rPr>
              <w:t>[the date the action was completed, and the name of the person/entity that completed the action]</w:t>
            </w:r>
          </w:p>
        </w:tc>
        <w:tc>
          <w:tcPr>
            <w:tcW w:w="715" w:type="pct"/>
            <w:tcMar>
              <w:top w:w="57" w:type="dxa"/>
              <w:left w:w="57" w:type="dxa"/>
              <w:bottom w:w="57" w:type="dxa"/>
              <w:right w:w="57" w:type="dxa"/>
            </w:tcMar>
          </w:tcPr>
          <w:p w14:paraId="08E3575E" w14:textId="77777777" w:rsidR="006B654B" w:rsidRPr="00197921" w:rsidRDefault="00696C60" w:rsidP="009409AD">
            <w:pPr>
              <w:pStyle w:val="BoxText"/>
              <w:jc w:val="center"/>
              <w:rPr>
                <w:rFonts w:cs="Calibri Light"/>
                <w:b/>
                <w:bCs/>
              </w:rPr>
            </w:pPr>
            <w:r w:rsidRPr="00197921">
              <w:rPr>
                <w:rFonts w:cs="Calibri Light"/>
                <w:b/>
                <w:bCs/>
              </w:rPr>
              <w:t>Ultimate owners of assets acquired</w:t>
            </w:r>
          </w:p>
          <w:p w14:paraId="73F11F4E" w14:textId="77777777" w:rsidR="006B654B" w:rsidRPr="00197921" w:rsidRDefault="00696C60" w:rsidP="009409AD">
            <w:pPr>
              <w:pStyle w:val="BoxText"/>
              <w:jc w:val="center"/>
              <w:rPr>
                <w:rFonts w:cs="Calibri Light"/>
                <w:i/>
                <w:iCs/>
              </w:rPr>
            </w:pPr>
            <w:r w:rsidRPr="00197921">
              <w:rPr>
                <w:rFonts w:cs="Calibri Light"/>
                <w:i/>
                <w:iCs/>
              </w:rPr>
              <w:t>[if the action relates to acquiring an asset (including a company) the name of the person/entity that is the ultimate owner of the asset]</w:t>
            </w:r>
          </w:p>
          <w:p w14:paraId="0FDA2FA7" w14:textId="2B6F9D45" w:rsidR="00696C60" w:rsidRPr="00197921" w:rsidRDefault="00696C60" w:rsidP="009409AD">
            <w:pPr>
              <w:pStyle w:val="BoxText"/>
              <w:jc w:val="center"/>
              <w:rPr>
                <w:rFonts w:eastAsiaTheme="majorEastAsia" w:cs="Calibri Light"/>
                <w:i/>
                <w:iCs/>
              </w:rPr>
            </w:pPr>
            <w:r w:rsidRPr="00197921">
              <w:rPr>
                <w:rFonts w:cs="Calibri Light"/>
                <w:i/>
                <w:iCs/>
              </w:rPr>
              <w:lastRenderedPageBreak/>
              <w:t>[Please also list ultimate ownership in relation to joint venture participants here, in the case of an acquisition made through a joint venture agreement].</w:t>
            </w:r>
          </w:p>
        </w:tc>
        <w:tc>
          <w:tcPr>
            <w:tcW w:w="714" w:type="pct"/>
            <w:tcMar>
              <w:top w:w="57" w:type="dxa"/>
              <w:left w:w="57" w:type="dxa"/>
              <w:bottom w:w="57" w:type="dxa"/>
              <w:right w:w="57" w:type="dxa"/>
            </w:tcMar>
          </w:tcPr>
          <w:p w14:paraId="466E74EB" w14:textId="16884506" w:rsidR="006B654B" w:rsidRPr="00197921" w:rsidRDefault="00696C60" w:rsidP="006B654B">
            <w:pPr>
              <w:pStyle w:val="BoxText"/>
              <w:jc w:val="center"/>
              <w:rPr>
                <w:rFonts w:cs="Calibri Light"/>
                <w:b/>
                <w:bCs/>
              </w:rPr>
            </w:pPr>
            <w:r w:rsidRPr="00197921">
              <w:rPr>
                <w:rFonts w:cs="Calibri Light"/>
                <w:b/>
                <w:bCs/>
              </w:rPr>
              <w:lastRenderedPageBreak/>
              <w:t>Other Parties</w:t>
            </w:r>
          </w:p>
          <w:p w14:paraId="4062C640" w14:textId="044AD8DE" w:rsidR="00696C60" w:rsidRPr="00197921" w:rsidRDefault="00696C60" w:rsidP="006B654B">
            <w:pPr>
              <w:pStyle w:val="BoxText"/>
              <w:jc w:val="center"/>
              <w:rPr>
                <w:rFonts w:eastAsiaTheme="majorEastAsia" w:cs="Calibri Light"/>
                <w:i/>
                <w:iCs/>
              </w:rPr>
            </w:pPr>
            <w:r w:rsidRPr="00197921">
              <w:rPr>
                <w:rFonts w:cs="Calibri Light"/>
                <w:i/>
                <w:iCs/>
              </w:rPr>
              <w:t>[the names of any other parties involved in the action and the country they are based in]</w:t>
            </w:r>
          </w:p>
        </w:tc>
        <w:tc>
          <w:tcPr>
            <w:tcW w:w="715" w:type="pct"/>
            <w:tcMar>
              <w:top w:w="57" w:type="dxa"/>
              <w:left w:w="57" w:type="dxa"/>
              <w:bottom w:w="57" w:type="dxa"/>
              <w:right w:w="57" w:type="dxa"/>
            </w:tcMar>
          </w:tcPr>
          <w:p w14:paraId="4BD09070" w14:textId="77777777" w:rsidR="006B654B" w:rsidRPr="00197921" w:rsidRDefault="00696C60" w:rsidP="006B654B">
            <w:pPr>
              <w:pStyle w:val="BoxText"/>
              <w:jc w:val="center"/>
              <w:rPr>
                <w:rFonts w:cs="Calibri Light"/>
                <w:b/>
                <w:bCs/>
              </w:rPr>
            </w:pPr>
            <w:r w:rsidRPr="00197921">
              <w:rPr>
                <w:rFonts w:cs="Calibri Light"/>
                <w:b/>
                <w:bCs/>
              </w:rPr>
              <w:t>Value</w:t>
            </w:r>
          </w:p>
          <w:p w14:paraId="285C6203" w14:textId="7936D9A3" w:rsidR="00696C60" w:rsidRPr="00197921" w:rsidRDefault="00696C60" w:rsidP="0677F1D3">
            <w:pPr>
              <w:pStyle w:val="BoxText"/>
              <w:jc w:val="center"/>
              <w:rPr>
                <w:rFonts w:eastAsiaTheme="majorEastAsia" w:cs="Calibri Light"/>
                <w:i/>
                <w:iCs/>
              </w:rPr>
            </w:pPr>
            <w:r w:rsidRPr="0677F1D3">
              <w:rPr>
                <w:rFonts w:cs="Calibri Light"/>
                <w:i/>
                <w:iCs/>
              </w:rPr>
              <w:t>[the monetary amount in Australian dollars the investor paid/</w:t>
            </w:r>
            <w:proofErr w:type="spellStart"/>
            <w:r w:rsidRPr="0677F1D3">
              <w:rPr>
                <w:rFonts w:cs="Calibri Light"/>
                <w:i/>
                <w:iCs/>
              </w:rPr>
              <w:t>gaine</w:t>
            </w:r>
            <w:proofErr w:type="spellEnd"/>
            <w:r w:rsidRPr="0677F1D3">
              <w:rPr>
                <w:rFonts w:cs="Calibri Light"/>
                <w:i/>
                <w:iCs/>
              </w:rPr>
              <w:t xml:space="preserve"> d as part of completing the action, for example, the amount paid to acquire a business]</w:t>
            </w:r>
          </w:p>
        </w:tc>
      </w:tr>
      <w:tr w:rsidR="00696C60" w:rsidRPr="00197921" w14:paraId="38679173" w14:textId="77777777" w:rsidTr="0677F1D3">
        <w:tc>
          <w:tcPr>
            <w:tcW w:w="714" w:type="pct"/>
            <w:tcMar>
              <w:top w:w="57" w:type="dxa"/>
              <w:left w:w="57" w:type="dxa"/>
              <w:bottom w:w="57" w:type="dxa"/>
              <w:right w:w="57" w:type="dxa"/>
            </w:tcMar>
          </w:tcPr>
          <w:p w14:paraId="6A7252AB" w14:textId="1C091B60"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Acquisition of Target Company 123 Pty Ltd</w:t>
            </w:r>
          </w:p>
        </w:tc>
        <w:tc>
          <w:tcPr>
            <w:tcW w:w="714" w:type="pct"/>
            <w:tcMar>
              <w:top w:w="57" w:type="dxa"/>
              <w:left w:w="57" w:type="dxa"/>
              <w:bottom w:w="57" w:type="dxa"/>
              <w:right w:w="57" w:type="dxa"/>
            </w:tcMar>
          </w:tcPr>
          <w:p w14:paraId="3EDA46F5" w14:textId="246BE760"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FI20XX/XXXXX</w:t>
            </w:r>
          </w:p>
        </w:tc>
        <w:tc>
          <w:tcPr>
            <w:tcW w:w="715" w:type="pct"/>
            <w:tcMar>
              <w:top w:w="57" w:type="dxa"/>
              <w:left w:w="57" w:type="dxa"/>
              <w:bottom w:w="57" w:type="dxa"/>
              <w:right w:w="57" w:type="dxa"/>
            </w:tcMar>
          </w:tcPr>
          <w:p w14:paraId="56E100DD" w14:textId="5A981BE0"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Approved DD/MM/YYYY</w:t>
            </w:r>
          </w:p>
        </w:tc>
        <w:tc>
          <w:tcPr>
            <w:tcW w:w="714" w:type="pct"/>
            <w:tcMar>
              <w:top w:w="57" w:type="dxa"/>
              <w:left w:w="57" w:type="dxa"/>
              <w:bottom w:w="57" w:type="dxa"/>
              <w:right w:w="57" w:type="dxa"/>
            </w:tcMar>
          </w:tcPr>
          <w:p w14:paraId="10EB12A7" w14:textId="18723D97"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Acquired DD/MM/YYYY</w:t>
            </w:r>
            <w:r w:rsidRPr="00197921">
              <w:rPr>
                <w:rFonts w:cs="Calibri Light"/>
                <w:i/>
                <w:iCs/>
                <w:color w:val="212529"/>
              </w:rPr>
              <w:br/>
            </w:r>
            <w:r w:rsidRPr="00197921">
              <w:rPr>
                <w:rStyle w:val="Emphasis"/>
                <w:rFonts w:cs="Calibri Light"/>
                <w:color w:val="212529"/>
              </w:rPr>
              <w:t>Acquired by Subsidiary Company of Foreign Investor Plc</w:t>
            </w:r>
          </w:p>
        </w:tc>
        <w:tc>
          <w:tcPr>
            <w:tcW w:w="715" w:type="pct"/>
            <w:tcMar>
              <w:top w:w="57" w:type="dxa"/>
              <w:left w:w="57" w:type="dxa"/>
              <w:bottom w:w="57" w:type="dxa"/>
              <w:right w:w="57" w:type="dxa"/>
            </w:tcMar>
          </w:tcPr>
          <w:p w14:paraId="25374784" w14:textId="71B17BD4"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Holding company of Foreign Investor Plc</w:t>
            </w:r>
          </w:p>
        </w:tc>
        <w:tc>
          <w:tcPr>
            <w:tcW w:w="714" w:type="pct"/>
            <w:tcMar>
              <w:top w:w="57" w:type="dxa"/>
              <w:left w:w="57" w:type="dxa"/>
              <w:bottom w:w="57" w:type="dxa"/>
              <w:right w:w="57" w:type="dxa"/>
            </w:tcMar>
          </w:tcPr>
          <w:p w14:paraId="54BF6B4B" w14:textId="77777777" w:rsidR="00696C60" w:rsidRPr="00197921" w:rsidRDefault="00696C60" w:rsidP="00C93BD0">
            <w:pPr>
              <w:pStyle w:val="BoxText"/>
              <w:jc w:val="center"/>
              <w:rPr>
                <w:rFonts w:eastAsiaTheme="majorEastAsia" w:cs="Calibri Light"/>
                <w:i/>
                <w:iCs/>
              </w:rPr>
            </w:pPr>
          </w:p>
        </w:tc>
        <w:tc>
          <w:tcPr>
            <w:tcW w:w="715" w:type="pct"/>
            <w:tcMar>
              <w:top w:w="57" w:type="dxa"/>
              <w:left w:w="57" w:type="dxa"/>
              <w:bottom w:w="57" w:type="dxa"/>
              <w:right w:w="57" w:type="dxa"/>
            </w:tcMar>
          </w:tcPr>
          <w:p w14:paraId="4E83FC01" w14:textId="40E87A23"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AUD$XX</w:t>
            </w:r>
          </w:p>
        </w:tc>
      </w:tr>
      <w:tr w:rsidR="00696C60" w:rsidRPr="00197921" w14:paraId="4156E9E2" w14:textId="77777777" w:rsidTr="0677F1D3">
        <w:tc>
          <w:tcPr>
            <w:tcW w:w="714" w:type="pct"/>
            <w:tcMar>
              <w:top w:w="57" w:type="dxa"/>
              <w:left w:w="57" w:type="dxa"/>
              <w:bottom w:w="57" w:type="dxa"/>
              <w:right w:w="57" w:type="dxa"/>
            </w:tcMar>
          </w:tcPr>
          <w:p w14:paraId="7843AF82" w14:textId="31A26FF3"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Merger with Multinational Corporation XYZ Ltd</w:t>
            </w:r>
          </w:p>
        </w:tc>
        <w:tc>
          <w:tcPr>
            <w:tcW w:w="714" w:type="pct"/>
            <w:tcMar>
              <w:top w:w="57" w:type="dxa"/>
              <w:left w:w="57" w:type="dxa"/>
              <w:bottom w:w="57" w:type="dxa"/>
              <w:right w:w="57" w:type="dxa"/>
            </w:tcMar>
          </w:tcPr>
          <w:p w14:paraId="57B0FA0C" w14:textId="3FAD91F2"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FI20XY/YYYYY</w:t>
            </w:r>
          </w:p>
        </w:tc>
        <w:tc>
          <w:tcPr>
            <w:tcW w:w="715" w:type="pct"/>
            <w:tcMar>
              <w:top w:w="57" w:type="dxa"/>
              <w:left w:w="57" w:type="dxa"/>
              <w:bottom w:w="57" w:type="dxa"/>
              <w:right w:w="57" w:type="dxa"/>
            </w:tcMar>
          </w:tcPr>
          <w:p w14:paraId="3B7586E3" w14:textId="00C4D47F"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Approved DD/MM/YYYY</w:t>
            </w:r>
          </w:p>
        </w:tc>
        <w:tc>
          <w:tcPr>
            <w:tcW w:w="714" w:type="pct"/>
            <w:tcMar>
              <w:top w:w="57" w:type="dxa"/>
              <w:left w:w="57" w:type="dxa"/>
              <w:bottom w:w="57" w:type="dxa"/>
              <w:right w:w="57" w:type="dxa"/>
            </w:tcMar>
          </w:tcPr>
          <w:p w14:paraId="26C474DA" w14:textId="1A18CEFA"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Acquired DD/MM/YYYY</w:t>
            </w:r>
          </w:p>
        </w:tc>
        <w:tc>
          <w:tcPr>
            <w:tcW w:w="715" w:type="pct"/>
            <w:tcMar>
              <w:top w:w="57" w:type="dxa"/>
              <w:left w:w="57" w:type="dxa"/>
              <w:bottom w:w="57" w:type="dxa"/>
              <w:right w:w="57" w:type="dxa"/>
            </w:tcMar>
          </w:tcPr>
          <w:p w14:paraId="59C3A67C" w14:textId="77777777" w:rsidR="00696C60" w:rsidRPr="00197921" w:rsidRDefault="00696C60" w:rsidP="00C93BD0">
            <w:pPr>
              <w:pStyle w:val="BoxText"/>
              <w:jc w:val="center"/>
              <w:rPr>
                <w:rFonts w:eastAsiaTheme="majorEastAsia" w:cs="Calibri Light"/>
                <w:i/>
                <w:iCs/>
              </w:rPr>
            </w:pPr>
          </w:p>
        </w:tc>
        <w:tc>
          <w:tcPr>
            <w:tcW w:w="714" w:type="pct"/>
            <w:tcMar>
              <w:top w:w="57" w:type="dxa"/>
              <w:left w:w="57" w:type="dxa"/>
              <w:bottom w:w="57" w:type="dxa"/>
              <w:right w:w="57" w:type="dxa"/>
            </w:tcMar>
          </w:tcPr>
          <w:p w14:paraId="41D6D457" w14:textId="44C90132"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Overseas Equity Financier LLP</w:t>
            </w:r>
          </w:p>
        </w:tc>
        <w:tc>
          <w:tcPr>
            <w:tcW w:w="715" w:type="pct"/>
            <w:tcMar>
              <w:top w:w="57" w:type="dxa"/>
              <w:left w:w="57" w:type="dxa"/>
              <w:bottom w:w="57" w:type="dxa"/>
              <w:right w:w="57" w:type="dxa"/>
            </w:tcMar>
          </w:tcPr>
          <w:p w14:paraId="699CD9A8" w14:textId="6E3FBF3A"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AUD$YY</w:t>
            </w:r>
          </w:p>
        </w:tc>
      </w:tr>
      <w:tr w:rsidR="00696C60" w:rsidRPr="00197921" w14:paraId="0C920FF1" w14:textId="77777777" w:rsidTr="0677F1D3">
        <w:tc>
          <w:tcPr>
            <w:tcW w:w="714" w:type="pct"/>
            <w:tcMar>
              <w:top w:w="57" w:type="dxa"/>
              <w:left w:w="57" w:type="dxa"/>
              <w:bottom w:w="57" w:type="dxa"/>
              <w:right w:w="57" w:type="dxa"/>
            </w:tcMar>
          </w:tcPr>
          <w:p w14:paraId="3E575380" w14:textId="1E981759"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Lease of Office Property, Name Street, City, State, Postcode</w:t>
            </w:r>
          </w:p>
        </w:tc>
        <w:tc>
          <w:tcPr>
            <w:tcW w:w="714" w:type="pct"/>
            <w:tcMar>
              <w:top w:w="57" w:type="dxa"/>
              <w:left w:w="57" w:type="dxa"/>
              <w:bottom w:w="57" w:type="dxa"/>
              <w:right w:w="57" w:type="dxa"/>
            </w:tcMar>
          </w:tcPr>
          <w:p w14:paraId="372B2B85" w14:textId="4BC46DCC"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FI20XZ/ZZZZZ</w:t>
            </w:r>
          </w:p>
        </w:tc>
        <w:tc>
          <w:tcPr>
            <w:tcW w:w="715" w:type="pct"/>
            <w:tcMar>
              <w:top w:w="57" w:type="dxa"/>
              <w:left w:w="57" w:type="dxa"/>
              <w:bottom w:w="57" w:type="dxa"/>
              <w:right w:w="57" w:type="dxa"/>
            </w:tcMar>
          </w:tcPr>
          <w:p w14:paraId="0E3154E0" w14:textId="49B51B5A"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Approved DD/MM/YYYY</w:t>
            </w:r>
          </w:p>
        </w:tc>
        <w:tc>
          <w:tcPr>
            <w:tcW w:w="714" w:type="pct"/>
            <w:tcMar>
              <w:top w:w="57" w:type="dxa"/>
              <w:left w:w="57" w:type="dxa"/>
              <w:bottom w:w="57" w:type="dxa"/>
              <w:right w:w="57" w:type="dxa"/>
            </w:tcMar>
          </w:tcPr>
          <w:p w14:paraId="1591DAC3" w14:textId="43E72948"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Acquired DD/MM/YYYY</w:t>
            </w:r>
          </w:p>
        </w:tc>
        <w:tc>
          <w:tcPr>
            <w:tcW w:w="715" w:type="pct"/>
            <w:tcMar>
              <w:top w:w="57" w:type="dxa"/>
              <w:left w:w="57" w:type="dxa"/>
              <w:bottom w:w="57" w:type="dxa"/>
              <w:right w:w="57" w:type="dxa"/>
            </w:tcMar>
          </w:tcPr>
          <w:p w14:paraId="178225F6" w14:textId="77777777" w:rsidR="00696C60" w:rsidRPr="00197921" w:rsidRDefault="00696C60" w:rsidP="00C93BD0">
            <w:pPr>
              <w:pStyle w:val="BoxText"/>
              <w:jc w:val="center"/>
              <w:rPr>
                <w:rFonts w:eastAsiaTheme="majorEastAsia" w:cs="Calibri Light"/>
                <w:i/>
                <w:iCs/>
              </w:rPr>
            </w:pPr>
          </w:p>
        </w:tc>
        <w:tc>
          <w:tcPr>
            <w:tcW w:w="714" w:type="pct"/>
            <w:tcMar>
              <w:top w:w="57" w:type="dxa"/>
              <w:left w:w="57" w:type="dxa"/>
              <w:bottom w:w="57" w:type="dxa"/>
              <w:right w:w="57" w:type="dxa"/>
            </w:tcMar>
          </w:tcPr>
          <w:p w14:paraId="76F70DE7" w14:textId="77777777" w:rsidR="00696C60" w:rsidRPr="00197921" w:rsidRDefault="00696C60" w:rsidP="00C93BD0">
            <w:pPr>
              <w:pStyle w:val="BoxText"/>
              <w:jc w:val="center"/>
              <w:rPr>
                <w:rFonts w:eastAsiaTheme="majorEastAsia" w:cs="Calibri Light"/>
                <w:i/>
                <w:iCs/>
              </w:rPr>
            </w:pPr>
          </w:p>
        </w:tc>
        <w:tc>
          <w:tcPr>
            <w:tcW w:w="715" w:type="pct"/>
            <w:tcMar>
              <w:top w:w="57" w:type="dxa"/>
              <w:left w:w="57" w:type="dxa"/>
              <w:bottom w:w="57" w:type="dxa"/>
              <w:right w:w="57" w:type="dxa"/>
            </w:tcMar>
          </w:tcPr>
          <w:p w14:paraId="7EDD5851" w14:textId="162783FA" w:rsidR="00696C60" w:rsidRPr="00197921" w:rsidRDefault="00696C60" w:rsidP="00C93BD0">
            <w:pPr>
              <w:pStyle w:val="BoxText"/>
              <w:jc w:val="center"/>
              <w:rPr>
                <w:rFonts w:eastAsiaTheme="majorEastAsia" w:cs="Calibri Light"/>
                <w:i/>
                <w:iCs/>
              </w:rPr>
            </w:pPr>
            <w:r w:rsidRPr="00197921">
              <w:rPr>
                <w:rStyle w:val="Emphasis"/>
                <w:rFonts w:cs="Calibri Light"/>
                <w:color w:val="212529"/>
              </w:rPr>
              <w:t>AUD$ZZ</w:t>
            </w:r>
          </w:p>
        </w:tc>
      </w:tr>
    </w:tbl>
    <w:p w14:paraId="1802B5A6" w14:textId="07FC6AD4" w:rsidR="004B1102" w:rsidRPr="00197921" w:rsidRDefault="004B1102" w:rsidP="00D405A6">
      <w:pPr>
        <w:pStyle w:val="Heading3"/>
        <w:rPr>
          <w:rFonts w:ascii="Calibri Light" w:hAnsi="Calibri Light" w:cs="Calibri Light"/>
          <w:b w:val="0"/>
          <w:bCs/>
          <w:sz w:val="22"/>
          <w:szCs w:val="22"/>
        </w:rPr>
      </w:pPr>
      <w:r w:rsidRPr="00197921">
        <w:rPr>
          <w:rFonts w:ascii="Calibri Light" w:eastAsiaTheme="majorEastAsia" w:hAnsi="Calibri Light" w:cs="Calibri Light"/>
          <w:b w:val="0"/>
          <w:bCs/>
          <w:sz w:val="22"/>
          <w:szCs w:val="22"/>
        </w:rPr>
        <w:t>Compliance with conditions:</w:t>
      </w:r>
    </w:p>
    <w:p w14:paraId="3AFF6ACF" w14:textId="77777777" w:rsidR="004B1102" w:rsidRPr="00197921" w:rsidRDefault="004B1102" w:rsidP="3C226C43">
      <w:pPr>
        <w:rPr>
          <w:rFonts w:cs="Calibri Light"/>
          <w:lang w:val="en-US"/>
        </w:rPr>
      </w:pPr>
      <w:r w:rsidRPr="3C226C43">
        <w:rPr>
          <w:rStyle w:val="Emphasis"/>
          <w:rFonts w:cs="Calibri Light"/>
          <w:color w:val="212529"/>
          <w:lang w:val="en-US"/>
        </w:rPr>
        <w:t xml:space="preserve">[This table should address </w:t>
      </w:r>
      <w:proofErr w:type="gramStart"/>
      <w:r w:rsidRPr="3C226C43">
        <w:rPr>
          <w:rStyle w:val="Emphasis"/>
          <w:rFonts w:cs="Calibri Light"/>
          <w:color w:val="212529"/>
          <w:lang w:val="en-US"/>
        </w:rPr>
        <w:t>all of</w:t>
      </w:r>
      <w:proofErr w:type="gramEnd"/>
      <w:r w:rsidRPr="3C226C43">
        <w:rPr>
          <w:rStyle w:val="Emphasis"/>
          <w:rFonts w:cs="Calibri Light"/>
          <w:color w:val="212529"/>
          <w:lang w:val="en-US"/>
        </w:rPr>
        <w:t xml:space="preserve"> the conditions under a no objection notification or relevant conditions in an exemption certificate that a foreign investor is required to comply with. This information is required when reporting on breaches of, and/or compliance with, a no objection notification or exemption certificate.</w:t>
      </w:r>
    </w:p>
    <w:p w14:paraId="73B1684E" w14:textId="032CA29E" w:rsidR="00C43E24" w:rsidRPr="00197921" w:rsidRDefault="004B1102" w:rsidP="00294D1D">
      <w:pPr>
        <w:rPr>
          <w:rStyle w:val="Emphasis"/>
          <w:rFonts w:cs="Calibri Light"/>
          <w:color w:val="212529"/>
          <w:lang w:val="en"/>
        </w:rPr>
      </w:pPr>
      <w:r w:rsidRPr="00197921">
        <w:rPr>
          <w:rStyle w:val="Emphasis"/>
          <w:rFonts w:cs="Calibri Light"/>
          <w:color w:val="212529"/>
          <w:lang w:val="en"/>
        </w:rPr>
        <w:t>If the conditions for multiple related no objection notifications are the same, then the same table can be used, but it should be clear to which no objection notification any instances of non</w:t>
      </w:r>
      <w:r w:rsidR="00294D1D" w:rsidRPr="00197921">
        <w:rPr>
          <w:rStyle w:val="Emphasis"/>
          <w:rFonts w:cs="Calibri Light"/>
          <w:color w:val="212529"/>
          <w:lang w:val="en"/>
        </w:rPr>
        <w:noBreakHyphen/>
      </w:r>
      <w:r w:rsidRPr="00197921">
        <w:rPr>
          <w:rStyle w:val="Emphasis"/>
          <w:rFonts w:cs="Calibri Light"/>
          <w:color w:val="212529"/>
          <w:lang w:val="en"/>
        </w:rPr>
        <w:t>compliance relate to.]</w:t>
      </w:r>
      <w:r w:rsidR="00C43E24" w:rsidRPr="00197921">
        <w:rPr>
          <w:rStyle w:val="Emphasis"/>
          <w:rFonts w:cs="Calibri Light"/>
          <w:color w:val="212529"/>
          <w:lang w:val="e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6"/>
        <w:gridCol w:w="1271"/>
        <w:gridCol w:w="5217"/>
      </w:tblGrid>
      <w:tr w:rsidR="00C43E24" w:rsidRPr="00197921" w14:paraId="79AA726A" w14:textId="77777777" w:rsidTr="00C43E24">
        <w:trPr>
          <w:trHeight w:val="13"/>
        </w:trPr>
        <w:tc>
          <w:tcPr>
            <w:tcW w:w="1181" w:type="pct"/>
            <w:shd w:val="clear" w:color="auto" w:fill="auto"/>
            <w:tcMar>
              <w:top w:w="57" w:type="dxa"/>
              <w:left w:w="113" w:type="dxa"/>
              <w:bottom w:w="57" w:type="dxa"/>
              <w:right w:w="113" w:type="dxa"/>
            </w:tcMar>
            <w:hideMark/>
          </w:tcPr>
          <w:p w14:paraId="77FB61C2" w14:textId="77777777" w:rsidR="004B1102" w:rsidRPr="00197921" w:rsidRDefault="004B1102" w:rsidP="00C43E24">
            <w:pPr>
              <w:pStyle w:val="Tablecolumnheading"/>
              <w:rPr>
                <w:rFonts w:ascii="Calibri Light" w:hAnsi="Calibri Light" w:cs="Calibri Light"/>
                <w:color w:val="auto"/>
              </w:rPr>
            </w:pPr>
            <w:r w:rsidRPr="00197921">
              <w:rPr>
                <w:rFonts w:ascii="Calibri Light" w:hAnsi="Calibri Light" w:cs="Calibri Light"/>
                <w:color w:val="auto"/>
              </w:rPr>
              <w:lastRenderedPageBreak/>
              <w:t xml:space="preserve">Condition </w:t>
            </w:r>
          </w:p>
        </w:tc>
        <w:tc>
          <w:tcPr>
            <w:tcW w:w="748" w:type="pct"/>
            <w:shd w:val="clear" w:color="auto" w:fill="auto"/>
            <w:tcMar>
              <w:top w:w="57" w:type="dxa"/>
              <w:left w:w="113" w:type="dxa"/>
              <w:bottom w:w="57" w:type="dxa"/>
              <w:right w:w="113" w:type="dxa"/>
            </w:tcMar>
            <w:hideMark/>
          </w:tcPr>
          <w:p w14:paraId="01E23F33" w14:textId="77777777" w:rsidR="004B1102" w:rsidRPr="00197921" w:rsidRDefault="004B1102" w:rsidP="00C43E24">
            <w:pPr>
              <w:pStyle w:val="Tablecolumnheading"/>
              <w:rPr>
                <w:rFonts w:ascii="Calibri Light" w:hAnsi="Calibri Light" w:cs="Calibri Light"/>
                <w:color w:val="auto"/>
              </w:rPr>
            </w:pPr>
            <w:r w:rsidRPr="00197921">
              <w:rPr>
                <w:rFonts w:ascii="Calibri Light" w:eastAsiaTheme="majorEastAsia" w:hAnsi="Calibri Light" w:cs="Calibri Light"/>
                <w:color w:val="auto"/>
              </w:rPr>
              <w:t>Compliant?</w:t>
            </w:r>
          </w:p>
        </w:tc>
        <w:tc>
          <w:tcPr>
            <w:tcW w:w="3070" w:type="pct"/>
            <w:shd w:val="clear" w:color="auto" w:fill="auto"/>
            <w:tcMar>
              <w:top w:w="57" w:type="dxa"/>
              <w:left w:w="113" w:type="dxa"/>
              <w:bottom w:w="57" w:type="dxa"/>
              <w:right w:w="113" w:type="dxa"/>
            </w:tcMar>
            <w:hideMark/>
          </w:tcPr>
          <w:p w14:paraId="5F9F3468" w14:textId="5601F18C" w:rsidR="004B1102" w:rsidRPr="00197921" w:rsidRDefault="004B1102" w:rsidP="00C43E24">
            <w:pPr>
              <w:pStyle w:val="Tablecolumnheading"/>
              <w:rPr>
                <w:rFonts w:ascii="Calibri Light" w:hAnsi="Calibri Light" w:cs="Calibri Light"/>
                <w:color w:val="auto"/>
              </w:rPr>
            </w:pPr>
            <w:r w:rsidRPr="00197921">
              <w:rPr>
                <w:rFonts w:ascii="Calibri Light" w:eastAsiaTheme="majorEastAsia" w:hAnsi="Calibri Light" w:cs="Calibri Light"/>
                <w:color w:val="auto"/>
              </w:rPr>
              <w:t>Details (if non</w:t>
            </w:r>
            <w:r w:rsidR="00294D1D" w:rsidRPr="00197921">
              <w:rPr>
                <w:rFonts w:ascii="Calibri Light" w:eastAsiaTheme="majorEastAsia" w:hAnsi="Calibri Light" w:cs="Calibri Light"/>
                <w:color w:val="auto"/>
              </w:rPr>
              <w:noBreakHyphen/>
            </w:r>
            <w:r w:rsidRPr="00197921">
              <w:rPr>
                <w:rFonts w:ascii="Calibri Light" w:eastAsiaTheme="majorEastAsia" w:hAnsi="Calibri Light" w:cs="Calibri Light"/>
                <w:color w:val="auto"/>
              </w:rPr>
              <w:t>compliance)</w:t>
            </w:r>
          </w:p>
        </w:tc>
      </w:tr>
      <w:tr w:rsidR="004B1102" w:rsidRPr="00197921" w14:paraId="7995D408" w14:textId="77777777" w:rsidTr="00C43E24">
        <w:trPr>
          <w:trHeight w:val="567"/>
        </w:trPr>
        <w:tc>
          <w:tcPr>
            <w:tcW w:w="1181" w:type="pct"/>
            <w:shd w:val="clear" w:color="auto" w:fill="auto"/>
            <w:tcMar>
              <w:top w:w="57" w:type="dxa"/>
              <w:left w:w="113" w:type="dxa"/>
              <w:bottom w:w="57" w:type="dxa"/>
              <w:right w:w="113" w:type="dxa"/>
            </w:tcMar>
            <w:hideMark/>
          </w:tcPr>
          <w:p w14:paraId="1AF44E49" w14:textId="77777777" w:rsidR="004B1102" w:rsidRPr="00197921" w:rsidRDefault="004B1102" w:rsidP="002E0717">
            <w:pPr>
              <w:pStyle w:val="BoxText"/>
              <w:rPr>
                <w:rFonts w:cs="Calibri Light"/>
              </w:rPr>
            </w:pPr>
            <w:r w:rsidRPr="00197921">
              <w:rPr>
                <w:rStyle w:val="Emphasis"/>
                <w:rFonts w:cs="Calibri Light"/>
                <w:color w:val="212529"/>
              </w:rPr>
              <w:t xml:space="preserve">1: text of condition </w:t>
            </w:r>
          </w:p>
        </w:tc>
        <w:tc>
          <w:tcPr>
            <w:tcW w:w="748" w:type="pct"/>
            <w:shd w:val="clear" w:color="auto" w:fill="auto"/>
            <w:tcMar>
              <w:top w:w="57" w:type="dxa"/>
              <w:left w:w="113" w:type="dxa"/>
              <w:bottom w:w="57" w:type="dxa"/>
              <w:right w:w="113" w:type="dxa"/>
            </w:tcMar>
            <w:hideMark/>
          </w:tcPr>
          <w:p w14:paraId="296C1113" w14:textId="77777777" w:rsidR="004B1102" w:rsidRPr="00197921" w:rsidRDefault="004B1102" w:rsidP="002E0717">
            <w:pPr>
              <w:pStyle w:val="BoxText"/>
              <w:rPr>
                <w:rFonts w:cs="Calibri Light"/>
              </w:rPr>
            </w:pPr>
            <w:r w:rsidRPr="00197921">
              <w:rPr>
                <w:rFonts w:cs="Calibri Light"/>
              </w:rPr>
              <w:t>Y/N</w:t>
            </w:r>
          </w:p>
        </w:tc>
        <w:tc>
          <w:tcPr>
            <w:tcW w:w="3070" w:type="pct"/>
            <w:shd w:val="clear" w:color="auto" w:fill="auto"/>
            <w:tcMar>
              <w:top w:w="57" w:type="dxa"/>
              <w:left w:w="113" w:type="dxa"/>
              <w:bottom w:w="57" w:type="dxa"/>
              <w:right w:w="113" w:type="dxa"/>
            </w:tcMar>
            <w:hideMark/>
          </w:tcPr>
          <w:p w14:paraId="31D7D57A" w14:textId="705FAEC7" w:rsidR="004B1102" w:rsidRPr="00197921" w:rsidRDefault="004B1102" w:rsidP="002E0717">
            <w:pPr>
              <w:pStyle w:val="BoxText"/>
              <w:rPr>
                <w:rFonts w:cs="Calibri Light"/>
              </w:rPr>
            </w:pPr>
            <w:r w:rsidRPr="00197921">
              <w:rPr>
                <w:rStyle w:val="Emphasis"/>
                <w:rFonts w:cs="Calibri Light"/>
                <w:color w:val="212529"/>
              </w:rPr>
              <w:t>For example:</w:t>
            </w:r>
            <w:r w:rsidR="00AD6169" w:rsidRPr="00197921">
              <w:rPr>
                <w:rStyle w:val="Emphasis"/>
                <w:rFonts w:cs="Calibri Light"/>
                <w:color w:val="212529"/>
              </w:rPr>
              <w:t xml:space="preserve"> </w:t>
            </w:r>
            <w:r w:rsidRPr="00197921">
              <w:rPr>
                <w:rStyle w:val="Emphasis"/>
                <w:rFonts w:cs="Calibri Light"/>
                <w:color w:val="212529"/>
              </w:rPr>
              <w:t>Not compliant – report was submitted 14 days after the due date. The date was marked incorrectly in our own records. Treasury was informed of non</w:t>
            </w:r>
            <w:r w:rsidR="00294D1D" w:rsidRPr="00197921">
              <w:rPr>
                <w:rStyle w:val="Emphasis"/>
                <w:rFonts w:cs="Calibri Light"/>
                <w:color w:val="212529"/>
              </w:rPr>
              <w:noBreakHyphen/>
            </w:r>
            <w:r w:rsidRPr="00197921">
              <w:rPr>
                <w:rStyle w:val="Emphasis"/>
                <w:rFonts w:cs="Calibri Light"/>
                <w:color w:val="212529"/>
              </w:rPr>
              <w:t xml:space="preserve">compliance as soon as </w:t>
            </w:r>
            <w:proofErr w:type="gramStart"/>
            <w:r w:rsidRPr="00197921">
              <w:rPr>
                <w:rStyle w:val="Emphasis"/>
                <w:rFonts w:cs="Calibri Light"/>
                <w:color w:val="212529"/>
              </w:rPr>
              <w:t>practicable</w:t>
            </w:r>
            <w:proofErr w:type="gramEnd"/>
            <w:r w:rsidRPr="00197921">
              <w:rPr>
                <w:rStyle w:val="Emphasis"/>
                <w:rFonts w:cs="Calibri Light"/>
                <w:color w:val="212529"/>
              </w:rPr>
              <w:t xml:space="preserve"> and they agreed that no action should be taken at this stage. </w:t>
            </w:r>
          </w:p>
          <w:p w14:paraId="40257F6A" w14:textId="77777777" w:rsidR="004B1102" w:rsidRPr="00197921" w:rsidRDefault="004B1102" w:rsidP="002E0717">
            <w:pPr>
              <w:pStyle w:val="BoxText"/>
              <w:rPr>
                <w:rFonts w:cs="Calibri Light"/>
              </w:rPr>
            </w:pPr>
            <w:r w:rsidRPr="00197921">
              <w:rPr>
                <w:rStyle w:val="Emphasis"/>
                <w:rFonts w:cs="Calibri Light"/>
                <w:color w:val="212529"/>
              </w:rPr>
              <w:t>Information about remedial action should also be included here.</w:t>
            </w:r>
          </w:p>
        </w:tc>
      </w:tr>
      <w:tr w:rsidR="004B1102" w:rsidRPr="00197921" w14:paraId="2593D688" w14:textId="77777777" w:rsidTr="00C43E24">
        <w:tc>
          <w:tcPr>
            <w:tcW w:w="1181" w:type="pct"/>
            <w:shd w:val="clear" w:color="auto" w:fill="auto"/>
            <w:tcMar>
              <w:top w:w="57" w:type="dxa"/>
              <w:left w:w="113" w:type="dxa"/>
              <w:bottom w:w="57" w:type="dxa"/>
              <w:right w:w="113" w:type="dxa"/>
            </w:tcMar>
            <w:hideMark/>
          </w:tcPr>
          <w:p w14:paraId="03F41E89" w14:textId="77777777" w:rsidR="004B1102" w:rsidRPr="00197921" w:rsidRDefault="004B1102" w:rsidP="002E0717">
            <w:pPr>
              <w:pStyle w:val="BoxText"/>
              <w:rPr>
                <w:rFonts w:cs="Calibri Light"/>
              </w:rPr>
            </w:pPr>
            <w:r w:rsidRPr="00197921">
              <w:rPr>
                <w:rStyle w:val="Emphasis"/>
                <w:rFonts w:cs="Calibri Light"/>
                <w:color w:val="212529"/>
              </w:rPr>
              <w:t>2: text of condition</w:t>
            </w:r>
          </w:p>
        </w:tc>
        <w:tc>
          <w:tcPr>
            <w:tcW w:w="748" w:type="pct"/>
            <w:shd w:val="clear" w:color="auto" w:fill="auto"/>
            <w:tcMar>
              <w:top w:w="57" w:type="dxa"/>
              <w:left w:w="113" w:type="dxa"/>
              <w:bottom w:w="57" w:type="dxa"/>
              <w:right w:w="113" w:type="dxa"/>
            </w:tcMar>
            <w:hideMark/>
          </w:tcPr>
          <w:p w14:paraId="47442956" w14:textId="77777777" w:rsidR="004B1102" w:rsidRPr="00197921" w:rsidRDefault="004B1102" w:rsidP="002E0717">
            <w:pPr>
              <w:pStyle w:val="BoxText"/>
              <w:rPr>
                <w:rFonts w:cs="Calibri Light"/>
              </w:rPr>
            </w:pPr>
            <w:r w:rsidRPr="00197921">
              <w:rPr>
                <w:rFonts w:cs="Calibri Light"/>
              </w:rPr>
              <w:t>Y/N</w:t>
            </w:r>
          </w:p>
        </w:tc>
        <w:tc>
          <w:tcPr>
            <w:tcW w:w="3070" w:type="pct"/>
            <w:shd w:val="clear" w:color="auto" w:fill="auto"/>
            <w:tcMar>
              <w:top w:w="57" w:type="dxa"/>
              <w:left w:w="113" w:type="dxa"/>
              <w:bottom w:w="57" w:type="dxa"/>
              <w:right w:w="113" w:type="dxa"/>
            </w:tcMar>
            <w:hideMark/>
          </w:tcPr>
          <w:p w14:paraId="1CF2B198" w14:textId="77777777" w:rsidR="004B1102" w:rsidRPr="00197921" w:rsidRDefault="004B1102" w:rsidP="002E0717">
            <w:pPr>
              <w:pStyle w:val="BoxText"/>
              <w:rPr>
                <w:rFonts w:cs="Calibri Light"/>
              </w:rPr>
            </w:pPr>
            <w:r w:rsidRPr="00197921">
              <w:rPr>
                <w:rFonts w:cs="Calibri Light"/>
              </w:rPr>
              <w:t> </w:t>
            </w:r>
          </w:p>
        </w:tc>
      </w:tr>
      <w:tr w:rsidR="004B1102" w:rsidRPr="00197921" w14:paraId="62F98814" w14:textId="77777777" w:rsidTr="00C43E24">
        <w:tc>
          <w:tcPr>
            <w:tcW w:w="1181" w:type="pct"/>
            <w:shd w:val="clear" w:color="auto" w:fill="auto"/>
            <w:tcMar>
              <w:top w:w="57" w:type="dxa"/>
              <w:left w:w="113" w:type="dxa"/>
              <w:bottom w:w="57" w:type="dxa"/>
              <w:right w:w="113" w:type="dxa"/>
            </w:tcMar>
            <w:hideMark/>
          </w:tcPr>
          <w:p w14:paraId="3399EFBB" w14:textId="77777777" w:rsidR="004B1102" w:rsidRPr="00197921" w:rsidRDefault="004B1102" w:rsidP="002E0717">
            <w:pPr>
              <w:pStyle w:val="BoxText"/>
              <w:rPr>
                <w:rFonts w:cs="Calibri Light"/>
              </w:rPr>
            </w:pPr>
            <w:r w:rsidRPr="00197921">
              <w:rPr>
                <w:rStyle w:val="Emphasis"/>
                <w:rFonts w:cs="Calibri Light"/>
                <w:color w:val="212529"/>
              </w:rPr>
              <w:t>3: text of condition</w:t>
            </w:r>
          </w:p>
        </w:tc>
        <w:tc>
          <w:tcPr>
            <w:tcW w:w="748" w:type="pct"/>
            <w:shd w:val="clear" w:color="auto" w:fill="auto"/>
            <w:tcMar>
              <w:top w:w="57" w:type="dxa"/>
              <w:left w:w="113" w:type="dxa"/>
              <w:bottom w:w="57" w:type="dxa"/>
              <w:right w:w="113" w:type="dxa"/>
            </w:tcMar>
            <w:hideMark/>
          </w:tcPr>
          <w:p w14:paraId="338EA7FC" w14:textId="77777777" w:rsidR="004B1102" w:rsidRPr="00197921" w:rsidRDefault="004B1102" w:rsidP="002E0717">
            <w:pPr>
              <w:pStyle w:val="BoxText"/>
              <w:rPr>
                <w:rFonts w:cs="Calibri Light"/>
              </w:rPr>
            </w:pPr>
            <w:r w:rsidRPr="00197921">
              <w:rPr>
                <w:rFonts w:cs="Calibri Light"/>
              </w:rPr>
              <w:t>Y/N</w:t>
            </w:r>
          </w:p>
        </w:tc>
        <w:tc>
          <w:tcPr>
            <w:tcW w:w="3070" w:type="pct"/>
            <w:shd w:val="clear" w:color="auto" w:fill="auto"/>
            <w:tcMar>
              <w:top w:w="57" w:type="dxa"/>
              <w:left w:w="113" w:type="dxa"/>
              <w:bottom w:w="57" w:type="dxa"/>
              <w:right w:w="113" w:type="dxa"/>
            </w:tcMar>
            <w:hideMark/>
          </w:tcPr>
          <w:p w14:paraId="02CF3A3A" w14:textId="77777777" w:rsidR="004B1102" w:rsidRPr="00197921" w:rsidRDefault="004B1102" w:rsidP="002E0717">
            <w:pPr>
              <w:pStyle w:val="BoxText"/>
              <w:rPr>
                <w:rFonts w:cs="Calibri Light"/>
              </w:rPr>
            </w:pPr>
            <w:r w:rsidRPr="00197921">
              <w:rPr>
                <w:rFonts w:cs="Calibri Light"/>
              </w:rPr>
              <w:t> </w:t>
            </w:r>
          </w:p>
        </w:tc>
      </w:tr>
      <w:tr w:rsidR="004B1102" w:rsidRPr="00197921" w14:paraId="51A643C6" w14:textId="77777777" w:rsidTr="00C43E24">
        <w:tc>
          <w:tcPr>
            <w:tcW w:w="1181" w:type="pct"/>
            <w:shd w:val="clear" w:color="auto" w:fill="auto"/>
            <w:tcMar>
              <w:top w:w="57" w:type="dxa"/>
              <w:left w:w="113" w:type="dxa"/>
              <w:bottom w:w="57" w:type="dxa"/>
              <w:right w:w="113" w:type="dxa"/>
            </w:tcMar>
            <w:hideMark/>
          </w:tcPr>
          <w:p w14:paraId="19E64C46" w14:textId="77777777" w:rsidR="004B1102" w:rsidRPr="00197921" w:rsidRDefault="004B1102" w:rsidP="002E0717">
            <w:pPr>
              <w:pStyle w:val="BoxText"/>
              <w:rPr>
                <w:rFonts w:cs="Calibri Light"/>
              </w:rPr>
            </w:pPr>
            <w:r w:rsidRPr="00197921">
              <w:rPr>
                <w:rStyle w:val="Emphasis"/>
                <w:rFonts w:cs="Calibri Light"/>
                <w:color w:val="212529"/>
              </w:rPr>
              <w:t>4: text of condition</w:t>
            </w:r>
          </w:p>
        </w:tc>
        <w:tc>
          <w:tcPr>
            <w:tcW w:w="748" w:type="pct"/>
            <w:shd w:val="clear" w:color="auto" w:fill="auto"/>
            <w:tcMar>
              <w:top w:w="57" w:type="dxa"/>
              <w:left w:w="113" w:type="dxa"/>
              <w:bottom w:w="57" w:type="dxa"/>
              <w:right w:w="113" w:type="dxa"/>
            </w:tcMar>
            <w:hideMark/>
          </w:tcPr>
          <w:p w14:paraId="3308DE37" w14:textId="77777777" w:rsidR="004B1102" w:rsidRPr="00197921" w:rsidRDefault="004B1102" w:rsidP="002E0717">
            <w:pPr>
              <w:pStyle w:val="BoxText"/>
              <w:rPr>
                <w:rFonts w:cs="Calibri Light"/>
              </w:rPr>
            </w:pPr>
            <w:r w:rsidRPr="00197921">
              <w:rPr>
                <w:rFonts w:cs="Calibri Light"/>
              </w:rPr>
              <w:t>Y/N</w:t>
            </w:r>
          </w:p>
        </w:tc>
        <w:tc>
          <w:tcPr>
            <w:tcW w:w="3070" w:type="pct"/>
            <w:shd w:val="clear" w:color="auto" w:fill="auto"/>
            <w:tcMar>
              <w:top w:w="57" w:type="dxa"/>
              <w:left w:w="113" w:type="dxa"/>
              <w:bottom w:w="57" w:type="dxa"/>
              <w:right w:w="113" w:type="dxa"/>
            </w:tcMar>
            <w:hideMark/>
          </w:tcPr>
          <w:p w14:paraId="7641B413" w14:textId="77777777" w:rsidR="004B1102" w:rsidRPr="00197921" w:rsidRDefault="004B1102" w:rsidP="002E0717">
            <w:pPr>
              <w:pStyle w:val="BoxText"/>
              <w:rPr>
                <w:rFonts w:cs="Calibri Light"/>
              </w:rPr>
            </w:pPr>
            <w:r w:rsidRPr="00197921">
              <w:rPr>
                <w:rFonts w:cs="Calibri Light"/>
              </w:rPr>
              <w:t> </w:t>
            </w:r>
          </w:p>
        </w:tc>
      </w:tr>
    </w:tbl>
    <w:p w14:paraId="7282DAF8" w14:textId="77777777" w:rsidR="004B1102" w:rsidRPr="00197921" w:rsidRDefault="004B1102" w:rsidP="00340CF6">
      <w:pPr>
        <w:pStyle w:val="Heading4"/>
        <w:rPr>
          <w:rFonts w:cs="Calibri Light"/>
        </w:rPr>
      </w:pPr>
      <w:r w:rsidRPr="00197921">
        <w:rPr>
          <w:rFonts w:eastAsiaTheme="majorEastAsia" w:cs="Calibri Light"/>
        </w:rPr>
        <w:t>Additional considerations for Treasury</w:t>
      </w:r>
    </w:p>
    <w:p w14:paraId="21174658" w14:textId="77777777" w:rsidR="004B1102" w:rsidRPr="00197921" w:rsidRDefault="004B1102" w:rsidP="3C226C43">
      <w:pPr>
        <w:rPr>
          <w:rStyle w:val="Emphasis"/>
          <w:rFonts w:cs="Calibri Light"/>
          <w:color w:val="212529"/>
          <w:lang w:val="en-US"/>
        </w:rPr>
      </w:pPr>
      <w:r w:rsidRPr="3C226C43">
        <w:rPr>
          <w:rStyle w:val="Emphasis"/>
          <w:rFonts w:cs="Calibri Light"/>
          <w:color w:val="212529"/>
          <w:lang w:val="en-US"/>
        </w:rPr>
        <w:t>[Please include any additional information that you would like to provide to Treasury in relation to your conditions, or any questions about your conditions.]</w:t>
      </w:r>
    </w:p>
    <w:p w14:paraId="14F26754" w14:textId="77777777" w:rsidR="004B1102" w:rsidRPr="00197921" w:rsidRDefault="004B1102" w:rsidP="00340CF6">
      <w:pPr>
        <w:pStyle w:val="Heading4"/>
        <w:rPr>
          <w:rFonts w:eastAsiaTheme="majorEastAsia" w:cs="Calibri Light"/>
        </w:rPr>
      </w:pPr>
      <w:r w:rsidRPr="00197921">
        <w:rPr>
          <w:rFonts w:eastAsiaTheme="majorEastAsia" w:cs="Calibri Light"/>
        </w:rPr>
        <w:t>Assurance</w:t>
      </w:r>
    </w:p>
    <w:p w14:paraId="3272AE53" w14:textId="3DC4DB60" w:rsidR="004B1102" w:rsidRPr="00197921" w:rsidRDefault="004B1102" w:rsidP="00340CF6">
      <w:pPr>
        <w:rPr>
          <w:rFonts w:cs="Calibri Light"/>
          <w:b/>
        </w:rPr>
      </w:pPr>
      <w:r w:rsidRPr="00197921">
        <w:rPr>
          <w:rFonts w:cs="Calibri Light"/>
        </w:rPr>
        <w:t xml:space="preserve">I, </w:t>
      </w:r>
      <w:r w:rsidRPr="00197921">
        <w:rPr>
          <w:rStyle w:val="Strong"/>
          <w:rFonts w:cs="Calibri Light"/>
        </w:rPr>
        <w:t>[insert name]</w:t>
      </w:r>
      <w:r w:rsidRPr="00197921">
        <w:rPr>
          <w:rFonts w:cs="Calibri Light"/>
        </w:rPr>
        <w:t xml:space="preserve"> am an officer</w:t>
      </w:r>
      <w:r w:rsidRPr="00197921">
        <w:rPr>
          <w:rStyle w:val="FootnoteReference"/>
          <w:rFonts w:cs="Calibri Light"/>
        </w:rPr>
        <w:footnoteReference w:id="4"/>
      </w:r>
      <w:r w:rsidRPr="00197921">
        <w:rPr>
          <w:rFonts w:cs="Calibri Light"/>
        </w:rPr>
        <w:t xml:space="preserve"> of </w:t>
      </w:r>
      <w:r w:rsidRPr="00197921">
        <w:rPr>
          <w:rStyle w:val="Strong"/>
          <w:rFonts w:cs="Calibri Light"/>
        </w:rPr>
        <w:t>[insert name of Applicant]</w:t>
      </w:r>
      <w:r w:rsidRPr="00197921">
        <w:rPr>
          <w:rFonts w:cs="Calibri Light"/>
        </w:rPr>
        <w:t xml:space="preserve"> and have the authority to make this report on behalf of </w:t>
      </w:r>
      <w:r w:rsidRPr="00197921">
        <w:rPr>
          <w:rStyle w:val="Strong"/>
          <w:rFonts w:cs="Calibri Light"/>
        </w:rPr>
        <w:t>[insert list of names of each relevant entity for which the person makes the attestation]</w:t>
      </w:r>
      <w:r w:rsidRPr="00197921">
        <w:rPr>
          <w:rFonts w:cs="Calibri Light"/>
        </w:rPr>
        <w:t xml:space="preserve"> (</w:t>
      </w:r>
      <w:r w:rsidR="00294D1D" w:rsidRPr="00197921">
        <w:rPr>
          <w:rFonts w:cs="Calibri Light"/>
        </w:rPr>
        <w:t>“</w:t>
      </w:r>
      <w:r w:rsidRPr="00197921">
        <w:rPr>
          <w:rFonts w:cs="Calibri Light"/>
        </w:rPr>
        <w:t>the investor(s)</w:t>
      </w:r>
      <w:r w:rsidR="00294D1D" w:rsidRPr="00197921">
        <w:rPr>
          <w:rFonts w:cs="Calibri Light"/>
        </w:rPr>
        <w:t>”</w:t>
      </w:r>
      <w:r w:rsidRPr="00197921">
        <w:rPr>
          <w:rFonts w:cs="Calibri Light"/>
        </w:rPr>
        <w:t>).</w:t>
      </w:r>
    </w:p>
    <w:p w14:paraId="74967174" w14:textId="0AAEC539" w:rsidR="004B1102" w:rsidRPr="00197921" w:rsidRDefault="004B1102" w:rsidP="0094577E">
      <w:pPr>
        <w:rPr>
          <w:rFonts w:cs="Calibri Light"/>
        </w:rPr>
      </w:pPr>
      <w:r w:rsidRPr="00197921">
        <w:rPr>
          <w:rFonts w:cs="Calibri Light"/>
        </w:rPr>
        <w:t xml:space="preserve">I have </w:t>
      </w:r>
      <w:r w:rsidRPr="00197921">
        <w:rPr>
          <w:rStyle w:val="Strong"/>
          <w:rFonts w:cs="Calibri Light"/>
        </w:rPr>
        <w:t>(made reasonable enquiries/caused reasonable enquiries to be made)</w:t>
      </w:r>
      <w:r w:rsidRPr="00197921">
        <w:rPr>
          <w:rFonts w:cs="Calibri Light"/>
        </w:rPr>
        <w:t xml:space="preserve"> with respect to compliance by the investors with (each condition/</w:t>
      </w:r>
      <w:proofErr w:type="gramStart"/>
      <w:r w:rsidRPr="00197921">
        <w:rPr>
          <w:rFonts w:cs="Calibri Light"/>
        </w:rPr>
        <w:t>conditions</w:t>
      </w:r>
      <w:proofErr w:type="gramEnd"/>
      <w:r w:rsidRPr="00197921">
        <w:rPr>
          <w:rFonts w:cs="Calibri Light"/>
        </w:rPr>
        <w:t xml:space="preserve"> </w:t>
      </w:r>
      <w:r w:rsidRPr="00197921">
        <w:rPr>
          <w:rStyle w:val="Strong"/>
          <w:rFonts w:cs="Calibri Light"/>
        </w:rPr>
        <w:t>[insert numbers of relevant conditions e.g. 1 to 5]</w:t>
      </w:r>
      <w:r w:rsidRPr="00197921">
        <w:rPr>
          <w:rFonts w:cs="Calibri Light"/>
        </w:rPr>
        <w:t xml:space="preserve">) specified in the no objection notification dated </w:t>
      </w:r>
      <w:r w:rsidRPr="00197921">
        <w:rPr>
          <w:rStyle w:val="Strong"/>
          <w:rFonts w:cs="Calibri Light"/>
        </w:rPr>
        <w:t xml:space="preserve">[date] </w:t>
      </w:r>
      <w:r w:rsidRPr="00197921">
        <w:rPr>
          <w:rFonts w:cs="Calibri Light"/>
        </w:rPr>
        <w:t xml:space="preserve">for the actions described in the table above. On the basis of those enquiries I am satisfied that </w:t>
      </w:r>
      <w:r w:rsidRPr="00197921">
        <w:rPr>
          <w:rStyle w:val="Strong"/>
          <w:rFonts w:cs="Calibri Light"/>
        </w:rPr>
        <w:t>[except to the extent specified above,]</w:t>
      </w:r>
      <w:r w:rsidRPr="00197921">
        <w:rPr>
          <w:rFonts w:cs="Calibri Light"/>
        </w:rPr>
        <w:t xml:space="preserve"> each investor has fully complied with those conditions.</w:t>
      </w:r>
    </w:p>
    <w:p w14:paraId="4A8B5E09" w14:textId="77777777" w:rsidR="004B1102" w:rsidRPr="00197921" w:rsidRDefault="004B1102" w:rsidP="0094577E">
      <w:pPr>
        <w:rPr>
          <w:rFonts w:cs="Calibri Light"/>
        </w:rPr>
      </w:pPr>
      <w:r w:rsidRPr="00197921">
        <w:rPr>
          <w:rFonts w:cs="Calibri Light"/>
        </w:rPr>
        <w:t xml:space="preserve">I hereby consent to each investor providing to the Department of the Treasury, on request, details of the enquiries I have </w:t>
      </w:r>
      <w:r w:rsidRPr="00197921">
        <w:rPr>
          <w:rStyle w:val="Strong"/>
          <w:rFonts w:cs="Calibri Light"/>
        </w:rPr>
        <w:t>(made/caused to be made)</w:t>
      </w:r>
      <w:r w:rsidRPr="00197921">
        <w:rPr>
          <w:rFonts w:cs="Calibri Light"/>
        </w:rPr>
        <w:t xml:space="preserve"> in order to make this Report, and the data produced as a result of those enquiries.</w:t>
      </w:r>
    </w:p>
    <w:p w14:paraId="5FA35283" w14:textId="77777777" w:rsidR="004B1102" w:rsidRPr="00197921" w:rsidRDefault="004B1102" w:rsidP="00340CF6">
      <w:pPr>
        <w:rPr>
          <w:rFonts w:cs="Calibri Light"/>
        </w:rPr>
      </w:pPr>
      <w:r w:rsidRPr="00197921">
        <w:rPr>
          <w:rFonts w:cs="Calibri Light"/>
        </w:rPr>
        <w:t>I acknowledge that giving false or misleading information to the Commonwealth is a serious offence.</w:t>
      </w:r>
    </w:p>
    <w:p w14:paraId="17A1643A" w14:textId="77777777" w:rsidR="004B1102" w:rsidRPr="00197921" w:rsidRDefault="004B1102" w:rsidP="0094577E">
      <w:pPr>
        <w:rPr>
          <w:rStyle w:val="Strong"/>
          <w:rFonts w:cs="Calibri Light"/>
        </w:rPr>
      </w:pPr>
      <w:r w:rsidRPr="00197921">
        <w:rPr>
          <w:rStyle w:val="Strong"/>
          <w:rFonts w:cs="Calibri Light"/>
        </w:rPr>
        <w:t>[Insert Signature]</w:t>
      </w:r>
    </w:p>
    <w:p w14:paraId="258EC97B" w14:textId="77777777" w:rsidR="004B1102" w:rsidRPr="00197921" w:rsidRDefault="004B1102" w:rsidP="0094577E">
      <w:pPr>
        <w:rPr>
          <w:rFonts w:cs="Calibri Light"/>
        </w:rPr>
      </w:pPr>
      <w:r w:rsidRPr="00197921">
        <w:rPr>
          <w:rFonts w:eastAsiaTheme="majorEastAsia" w:cs="Calibri Light"/>
        </w:rPr>
        <w:t xml:space="preserve">Name and Position </w:t>
      </w:r>
    </w:p>
    <w:p w14:paraId="26E7043D" w14:textId="5DF88BE8" w:rsidR="004B1102" w:rsidRPr="00197921" w:rsidRDefault="004B1102" w:rsidP="004379CF">
      <w:pPr>
        <w:spacing w:after="360"/>
        <w:rPr>
          <w:rFonts w:cs="Calibri Light"/>
          <w:color w:val="212529"/>
          <w:lang w:val="en"/>
        </w:rPr>
      </w:pPr>
      <w:r w:rsidRPr="00197921">
        <w:rPr>
          <w:rStyle w:val="Strong"/>
          <w:rFonts w:eastAsiaTheme="majorEastAsia" w:cs="Calibri Light"/>
          <w:color w:val="212529"/>
          <w:lang w:val="en"/>
        </w:rPr>
        <w:t xml:space="preserve">Date </w:t>
      </w:r>
      <w:r w:rsidRPr="00197921">
        <w:rPr>
          <w:rFonts w:cs="Calibri Light"/>
          <w:color w:val="212529"/>
          <w:lang w:val="en"/>
        </w:rPr>
        <w:t>DD/MM/YYYY</w:t>
      </w:r>
    </w:p>
    <w:p w14:paraId="23895C99" w14:textId="61CAE2BC" w:rsidR="00DE74EC" w:rsidRPr="00197921" w:rsidRDefault="004B1102" w:rsidP="232C6DD0">
      <w:pPr>
        <w:rPr>
          <w:rFonts w:cs="Calibri Light"/>
          <w:lang w:val="en-US"/>
        </w:rPr>
      </w:pPr>
      <w:r w:rsidRPr="232C6DD0">
        <w:rPr>
          <w:rStyle w:val="Strong"/>
          <w:rFonts w:eastAsiaTheme="majorEastAsia" w:cs="Calibri Light"/>
          <w:color w:val="212529"/>
          <w:lang w:val="en-US"/>
        </w:rPr>
        <w:t xml:space="preserve">Reports </w:t>
      </w:r>
      <w:r w:rsidR="006B7E49">
        <w:rPr>
          <w:rStyle w:val="Strong"/>
          <w:rFonts w:eastAsiaTheme="majorEastAsia" w:cs="Calibri Light"/>
          <w:color w:val="212529"/>
          <w:lang w:val="en-US"/>
        </w:rPr>
        <w:t>must</w:t>
      </w:r>
      <w:r w:rsidR="006B7E49" w:rsidRPr="232C6DD0">
        <w:rPr>
          <w:rStyle w:val="Strong"/>
          <w:rFonts w:eastAsiaTheme="majorEastAsia" w:cs="Calibri Light"/>
          <w:color w:val="212529"/>
          <w:lang w:val="en-US"/>
        </w:rPr>
        <w:t xml:space="preserve"> </w:t>
      </w:r>
      <w:r w:rsidRPr="232C6DD0">
        <w:rPr>
          <w:rStyle w:val="Strong"/>
          <w:rFonts w:eastAsiaTheme="majorEastAsia" w:cs="Calibri Light"/>
          <w:color w:val="212529"/>
          <w:lang w:val="en-US"/>
        </w:rPr>
        <w:t xml:space="preserve">be </w:t>
      </w:r>
      <w:r w:rsidR="002A3FF6" w:rsidRPr="232C6DD0">
        <w:rPr>
          <w:rStyle w:val="Strong"/>
          <w:rFonts w:eastAsiaTheme="majorEastAsia" w:cs="Calibri Light"/>
          <w:color w:val="212529"/>
          <w:lang w:val="en-US"/>
        </w:rPr>
        <w:t xml:space="preserve">submitted </w:t>
      </w:r>
      <w:r w:rsidR="002D4C8E">
        <w:rPr>
          <w:rStyle w:val="Strong"/>
          <w:rFonts w:eastAsiaTheme="majorEastAsia" w:cs="Calibri Light"/>
          <w:color w:val="212529"/>
          <w:lang w:val="en-US"/>
        </w:rPr>
        <w:t>through</w:t>
      </w:r>
      <w:r w:rsidR="002A3FF6" w:rsidRPr="232C6DD0">
        <w:rPr>
          <w:rStyle w:val="Strong"/>
          <w:rFonts w:eastAsiaTheme="majorEastAsia" w:cs="Calibri Light"/>
          <w:color w:val="212529"/>
          <w:lang w:val="en-US"/>
        </w:rPr>
        <w:t xml:space="preserve"> the Foreign Investment Portal</w:t>
      </w:r>
    </w:p>
    <w:sectPr w:rsidR="00DE74EC" w:rsidRPr="00197921" w:rsidSect="00300C95">
      <w:headerReference w:type="default" r:id="rId20"/>
      <w:footerReference w:type="default" r:id="rId21"/>
      <w:headerReference w:type="first" r:id="rId22"/>
      <w:footerReference w:type="first" r:id="rId23"/>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375C" w14:textId="77777777" w:rsidR="00357B56" w:rsidRDefault="00357B56" w:rsidP="00886BC4">
      <w:r>
        <w:separator/>
      </w:r>
    </w:p>
    <w:p w14:paraId="75A372F3" w14:textId="77777777" w:rsidR="00357B56" w:rsidRDefault="00357B56"/>
  </w:endnote>
  <w:endnote w:type="continuationSeparator" w:id="0">
    <w:p w14:paraId="67253D36" w14:textId="77777777" w:rsidR="00357B56" w:rsidRDefault="00357B56" w:rsidP="00886BC4">
      <w:r>
        <w:continuationSeparator/>
      </w:r>
    </w:p>
    <w:p w14:paraId="1AAA41CC" w14:textId="77777777" w:rsidR="00357B56" w:rsidRDefault="00357B56"/>
  </w:endnote>
  <w:endnote w:type="continuationNotice" w:id="1">
    <w:p w14:paraId="079DDC57" w14:textId="77777777" w:rsidR="00357B56" w:rsidRDefault="00357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0550641B" w:rsidR="00A15DB7" w:rsidRPr="00E81A92" w:rsidRDefault="00A924F1" w:rsidP="00A924F1">
    <w:pPr>
      <w:pStyle w:val="Footer"/>
      <w:tabs>
        <w:tab w:val="clear" w:pos="4320"/>
      </w:tabs>
      <w:jc w:val="right"/>
    </w:pPr>
    <w:r w:rsidRPr="00AC3B66">
      <w:rPr>
        <w:noProof/>
        <w:position w:val="-10"/>
      </w:rPr>
      <w:drawing>
        <wp:inline distT="0" distB="0" distL="0" distR="0" wp14:anchorId="33368E67" wp14:editId="4F01D7C3">
          <wp:extent cx="21780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DE33BC">
      <w:t xml:space="preserve">Version </w:t>
    </w:r>
    <w:r w:rsidR="00FA19A3">
      <w:t>4</w:t>
    </w:r>
    <w:r w:rsidR="00DE33BC">
      <w:t xml:space="preserve"> (</w:t>
    </w:r>
    <w:r w:rsidR="007654E1">
      <w:t>2</w:t>
    </w:r>
    <w:r w:rsidR="007F1AF7">
      <w:t>1</w:t>
    </w:r>
    <w:r w:rsidR="007654E1">
      <w:t xml:space="preserve"> February</w:t>
    </w:r>
    <w:r w:rsidR="0008003C">
      <w:t xml:space="preserve"> </w:t>
    </w:r>
    <w:r w:rsidR="00DE33BC">
      <w:t>202</w:t>
    </w:r>
    <w:r w:rsidR="00FA19A3">
      <w:t>5</w:t>
    </w:r>
    <w:r w:rsidR="00DE33BC">
      <w:t>)</w:t>
    </w:r>
    <w:r w:rsidR="00E442EE">
      <w:t xml:space="preserve"> </w:t>
    </w:r>
    <w:r w:rsidR="00E81A92">
      <w:t>|</w:t>
    </w:r>
    <w:r w:rsidR="00AD6169">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0D2BC79F" w:rsidR="00300C95" w:rsidRPr="00E81A92" w:rsidRDefault="00A924F1" w:rsidP="00BA123B">
    <w:pPr>
      <w:pStyle w:val="Footer"/>
      <w:tabs>
        <w:tab w:val="clear" w:pos="4320"/>
        <w:tab w:val="clear" w:pos="8640"/>
        <w:tab w:val="center" w:pos="7938"/>
      </w:tabs>
      <w:jc w:val="right"/>
    </w:pPr>
    <w:r w:rsidRPr="00AC3B66">
      <w:rPr>
        <w:noProof/>
        <w:position w:val="-10"/>
      </w:rPr>
      <w:drawing>
        <wp:inline distT="0" distB="0" distL="0" distR="0" wp14:anchorId="65DDD56A" wp14:editId="0A513B19">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1539F3">
      <w:t xml:space="preserve">Version </w:t>
    </w:r>
    <w:r w:rsidR="00FA19A3">
      <w:t>4</w:t>
    </w:r>
    <w:r w:rsidR="001539F3">
      <w:t xml:space="preserve"> (</w:t>
    </w:r>
    <w:r w:rsidR="007654E1">
      <w:t>2</w:t>
    </w:r>
    <w:r w:rsidR="007F1AF7">
      <w:t>1</w:t>
    </w:r>
    <w:r w:rsidR="007654E1">
      <w:t xml:space="preserve"> February</w:t>
    </w:r>
    <w:r w:rsidR="001539F3">
      <w:t xml:space="preserve"> 202</w:t>
    </w:r>
    <w:r w:rsidR="00FA19A3">
      <w:t>5</w:t>
    </w:r>
    <w:r w:rsidR="001539F3">
      <w:t>)</w:t>
    </w:r>
    <w:r w:rsidR="00E81A92">
      <w:t xml:space="preserve"> |</w:t>
    </w:r>
    <w:r w:rsidR="00AD6169">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6ABB" w14:textId="77777777" w:rsidR="00357B56" w:rsidRDefault="00357B56" w:rsidP="00886BC4">
      <w:r>
        <w:separator/>
      </w:r>
    </w:p>
  </w:footnote>
  <w:footnote w:type="continuationSeparator" w:id="0">
    <w:p w14:paraId="1F2884CE" w14:textId="77777777" w:rsidR="00357B56" w:rsidRDefault="00357B56" w:rsidP="00886BC4">
      <w:r>
        <w:continuationSeparator/>
      </w:r>
    </w:p>
    <w:p w14:paraId="707B91FF" w14:textId="77777777" w:rsidR="00357B56" w:rsidRDefault="00357B56"/>
  </w:footnote>
  <w:footnote w:type="continuationNotice" w:id="1">
    <w:p w14:paraId="519298C7" w14:textId="77777777" w:rsidR="00357B56" w:rsidRDefault="00357B56"/>
  </w:footnote>
  <w:footnote w:id="2">
    <w:p w14:paraId="57552AEB" w14:textId="7F0B76A3" w:rsidR="004B1102" w:rsidRPr="00F31F6D" w:rsidRDefault="00294D1D" w:rsidP="008924B1">
      <w:pPr>
        <w:pStyle w:val="FootnoteText"/>
      </w:pPr>
      <w:r w:rsidRPr="00294D1D">
        <w:rPr>
          <w:rStyle w:val="FootnoteReference"/>
          <w:vertAlign w:val="baseline"/>
        </w:rPr>
        <w:footnoteRef/>
      </w:r>
      <w:r w:rsidR="004B1102" w:rsidRPr="00F31F6D">
        <w:t xml:space="preserve"> </w:t>
      </w:r>
      <w:r w:rsidR="004B1102" w:rsidRPr="00F31F6D">
        <w:tab/>
      </w:r>
      <w:r w:rsidR="004B1102" w:rsidRPr="008924B1">
        <w:t>For</w:t>
      </w:r>
      <w:r w:rsidR="004B1102" w:rsidRPr="00114E8E">
        <w:t xml:space="preserve"> a no objection notification or exemption certificate given on or after 1 January 2021, an investor must report on these matters as specified on the </w:t>
      </w:r>
      <w:hyperlink r:id="rId1" w:history="1">
        <w:r w:rsidR="004B1102" w:rsidRPr="006A143D">
          <w:rPr>
            <w:rStyle w:val="Hyperlink"/>
          </w:rPr>
          <w:t>F</w:t>
        </w:r>
        <w:r w:rsidR="001C2E14" w:rsidRPr="006A143D">
          <w:rPr>
            <w:rStyle w:val="Hyperlink"/>
          </w:rPr>
          <w:t>oreign Investment</w:t>
        </w:r>
        <w:r w:rsidR="004B1102" w:rsidRPr="006A143D">
          <w:rPr>
            <w:rStyle w:val="Hyperlink"/>
          </w:rPr>
          <w:t xml:space="preserve"> website</w:t>
        </w:r>
      </w:hyperlink>
      <w:r w:rsidRPr="006A143D">
        <w:t>.</w:t>
      </w:r>
      <w:r w:rsidR="00AD6169">
        <w:t xml:space="preserve"> </w:t>
      </w:r>
    </w:p>
  </w:footnote>
  <w:footnote w:id="3">
    <w:p w14:paraId="5EC370B6" w14:textId="77777777" w:rsidR="00A22FBE" w:rsidRDefault="00A22FBE" w:rsidP="00A22FBE">
      <w:pPr>
        <w:pStyle w:val="FootnoteText"/>
      </w:pPr>
      <w:r w:rsidRPr="00294D1D">
        <w:rPr>
          <w:rStyle w:val="FootnoteReference"/>
          <w:vertAlign w:val="baseline"/>
        </w:rPr>
        <w:footnoteRef/>
      </w:r>
      <w:r w:rsidRPr="00F31F6D">
        <w:t xml:space="preserve"> </w:t>
      </w:r>
      <w:r>
        <w:tab/>
      </w:r>
      <w:r w:rsidRPr="006F0535">
        <w:rPr>
          <w:lang w:val="en"/>
        </w:rPr>
        <w:t xml:space="preserve">An </w:t>
      </w:r>
      <w:r w:rsidRPr="00FA4AE6">
        <w:rPr>
          <w:b/>
          <w:bCs/>
          <w:i/>
          <w:iCs/>
          <w:lang w:val="en"/>
        </w:rPr>
        <w:t>officer</w:t>
      </w:r>
      <w:r w:rsidRPr="006F0535">
        <w:rPr>
          <w:lang w:val="en"/>
        </w:rPr>
        <w:t xml:space="preserve"> is defined in section </w:t>
      </w:r>
      <w:r w:rsidRPr="00D96C0D">
        <w:rPr>
          <w:lang w:val="en"/>
        </w:rPr>
        <w:t xml:space="preserve">4 of the </w:t>
      </w:r>
      <w:r>
        <w:rPr>
          <w:lang w:val="en"/>
        </w:rPr>
        <w:t>Act</w:t>
      </w:r>
      <w:r w:rsidRPr="00D96C0D">
        <w:rPr>
          <w:lang w:val="en"/>
        </w:rPr>
        <w:t>.</w:t>
      </w:r>
    </w:p>
  </w:footnote>
  <w:footnote w:id="4">
    <w:p w14:paraId="6638ED0E" w14:textId="39710D1B" w:rsidR="004B1102" w:rsidRDefault="00294D1D" w:rsidP="008924B1">
      <w:pPr>
        <w:pStyle w:val="FootnoteText"/>
      </w:pPr>
      <w:r w:rsidRPr="00294D1D">
        <w:rPr>
          <w:rStyle w:val="FootnoteReference"/>
          <w:vertAlign w:val="baseline"/>
        </w:rPr>
        <w:footnoteRef/>
      </w:r>
      <w:r w:rsidR="004B1102" w:rsidRPr="00F31F6D">
        <w:t xml:space="preserve"> </w:t>
      </w:r>
      <w:r w:rsidR="004B1102">
        <w:tab/>
        <w:t xml:space="preserve">An </w:t>
      </w:r>
      <w:r w:rsidR="004B1102" w:rsidRPr="00FA4AE6">
        <w:rPr>
          <w:b/>
          <w:bCs/>
          <w:i/>
          <w:iCs/>
        </w:rPr>
        <w:t>officer</w:t>
      </w:r>
      <w:r w:rsidR="004B1102">
        <w:t xml:space="preserve"> is defined in section </w:t>
      </w:r>
      <w:r w:rsidR="004B1102" w:rsidRPr="008C7286">
        <w:t xml:space="preserve">4 of </w:t>
      </w:r>
      <w:r w:rsidR="004B1102">
        <w:t>the Act</w:t>
      </w:r>
      <w:r w:rsidR="004B110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5BE456FE" w:rsidR="006D3EE7" w:rsidRPr="007F53C0" w:rsidRDefault="00FC2E34" w:rsidP="007F53C0">
    <w:pPr>
      <w:pStyle w:val="Header"/>
    </w:pPr>
    <w:r>
      <w:rPr>
        <w:noProof/>
      </w:rPr>
      <w:drawing>
        <wp:anchor distT="0" distB="0" distL="114300" distR="114300" simplePos="0" relativeHeight="251662337"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DA137E"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7777777" w:rsidR="00300C95" w:rsidRDefault="00300C95">
    <w:pPr>
      <w:pStyle w:val="Header"/>
    </w:pPr>
    <w:r>
      <w:rPr>
        <w:noProof/>
      </w:rPr>
      <w:drawing>
        <wp:anchor distT="0" distB="0" distL="114300" distR="114300" simplePos="0" relativeHeight="251658240"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63D48"/>
    <w:multiLevelType w:val="hybridMultilevel"/>
    <w:tmpl w:val="5E66C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4" w15:restartNumberingAfterBreak="0">
    <w:nsid w:val="27C276E0"/>
    <w:multiLevelType w:val="hybridMultilevel"/>
    <w:tmpl w:val="DF7E8436"/>
    <w:lvl w:ilvl="0" w:tplc="0C09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46E4FB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AEDF6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0637E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2AD7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E6E5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36E4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588B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7A75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0E926D3"/>
    <w:multiLevelType w:val="hybridMultilevel"/>
    <w:tmpl w:val="2B3E337E"/>
    <w:lvl w:ilvl="0" w:tplc="0C09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A99AF52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D4CC9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C251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0826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1EC3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7405B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2813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B815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FBA022A"/>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9BF6147"/>
    <w:multiLevelType w:val="hybridMultilevel"/>
    <w:tmpl w:val="A9DA7BA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7230C2"/>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26E4319"/>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2C5AAD"/>
    <w:multiLevelType w:val="hybridMultilevel"/>
    <w:tmpl w:val="0FDE340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17"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6825932">
    <w:abstractNumId w:val="1"/>
  </w:num>
  <w:num w:numId="2" w16cid:durableId="1102915596">
    <w:abstractNumId w:val="14"/>
  </w:num>
  <w:num w:numId="3" w16cid:durableId="1819952845">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3371065">
    <w:abstractNumId w:val="0"/>
  </w:num>
  <w:num w:numId="5" w16cid:durableId="536701709">
    <w:abstractNumId w:val="5"/>
  </w:num>
  <w:num w:numId="6" w16cid:durableId="1577861087">
    <w:abstractNumId w:val="7"/>
  </w:num>
  <w:num w:numId="7" w16cid:durableId="619528867">
    <w:abstractNumId w:val="13"/>
  </w:num>
  <w:num w:numId="8" w16cid:durableId="492992990">
    <w:abstractNumId w:val="16"/>
  </w:num>
  <w:num w:numId="9" w16cid:durableId="102500701">
    <w:abstractNumId w:val="10"/>
  </w:num>
  <w:num w:numId="10" w16cid:durableId="1602835395">
    <w:abstractNumId w:val="3"/>
  </w:num>
  <w:num w:numId="11" w16cid:durableId="709457966">
    <w:abstractNumId w:val="2"/>
  </w:num>
  <w:num w:numId="12" w16cid:durableId="1207067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177930">
    <w:abstractNumId w:val="11"/>
  </w:num>
  <w:num w:numId="14" w16cid:durableId="1038579369">
    <w:abstractNumId w:val="12"/>
  </w:num>
  <w:num w:numId="15" w16cid:durableId="2024938283">
    <w:abstractNumId w:val="8"/>
  </w:num>
  <w:num w:numId="16" w16cid:durableId="589124986">
    <w:abstractNumId w:val="4"/>
  </w:num>
  <w:num w:numId="17" w16cid:durableId="2061319309">
    <w:abstractNumId w:val="6"/>
  </w:num>
  <w:num w:numId="18" w16cid:durableId="80152850">
    <w:abstractNumId w:val="9"/>
  </w:num>
  <w:num w:numId="19" w16cid:durableId="61938587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0814"/>
    <w:rsid w:val="00000F0E"/>
    <w:rsid w:val="00001A43"/>
    <w:rsid w:val="000029AD"/>
    <w:rsid w:val="00005B2C"/>
    <w:rsid w:val="00007DC0"/>
    <w:rsid w:val="00007EF7"/>
    <w:rsid w:val="000161F9"/>
    <w:rsid w:val="00016655"/>
    <w:rsid w:val="00016670"/>
    <w:rsid w:val="00016B6C"/>
    <w:rsid w:val="00017775"/>
    <w:rsid w:val="000206C5"/>
    <w:rsid w:val="0002151A"/>
    <w:rsid w:val="00021BB9"/>
    <w:rsid w:val="000220A1"/>
    <w:rsid w:val="00023DE0"/>
    <w:rsid w:val="00033942"/>
    <w:rsid w:val="00033BF7"/>
    <w:rsid w:val="000352C2"/>
    <w:rsid w:val="00035F1C"/>
    <w:rsid w:val="00037241"/>
    <w:rsid w:val="00037A38"/>
    <w:rsid w:val="00037BD1"/>
    <w:rsid w:val="000421F9"/>
    <w:rsid w:val="000459F9"/>
    <w:rsid w:val="00045C24"/>
    <w:rsid w:val="00046764"/>
    <w:rsid w:val="00047CA0"/>
    <w:rsid w:val="000505DE"/>
    <w:rsid w:val="00051A11"/>
    <w:rsid w:val="00052424"/>
    <w:rsid w:val="00055166"/>
    <w:rsid w:val="000552D8"/>
    <w:rsid w:val="00060493"/>
    <w:rsid w:val="00060C76"/>
    <w:rsid w:val="00067E65"/>
    <w:rsid w:val="00070CDC"/>
    <w:rsid w:val="0007491C"/>
    <w:rsid w:val="00075135"/>
    <w:rsid w:val="000753CE"/>
    <w:rsid w:val="00075A6F"/>
    <w:rsid w:val="00076076"/>
    <w:rsid w:val="0008003C"/>
    <w:rsid w:val="000818EB"/>
    <w:rsid w:val="00082EE6"/>
    <w:rsid w:val="00084999"/>
    <w:rsid w:val="000849B1"/>
    <w:rsid w:val="00084C40"/>
    <w:rsid w:val="000919DA"/>
    <w:rsid w:val="00091FF2"/>
    <w:rsid w:val="00092181"/>
    <w:rsid w:val="00093649"/>
    <w:rsid w:val="00093F08"/>
    <w:rsid w:val="000A4D2D"/>
    <w:rsid w:val="000A5F48"/>
    <w:rsid w:val="000A72C7"/>
    <w:rsid w:val="000B0480"/>
    <w:rsid w:val="000B0A43"/>
    <w:rsid w:val="000B1EC3"/>
    <w:rsid w:val="000B38ED"/>
    <w:rsid w:val="000B3C90"/>
    <w:rsid w:val="000B44A0"/>
    <w:rsid w:val="000B484A"/>
    <w:rsid w:val="000B544F"/>
    <w:rsid w:val="000B77E0"/>
    <w:rsid w:val="000C02C9"/>
    <w:rsid w:val="000C0532"/>
    <w:rsid w:val="000C0835"/>
    <w:rsid w:val="000C0860"/>
    <w:rsid w:val="000C09B3"/>
    <w:rsid w:val="000C3201"/>
    <w:rsid w:val="000C4A82"/>
    <w:rsid w:val="000D2F73"/>
    <w:rsid w:val="000D33F2"/>
    <w:rsid w:val="000D4D9B"/>
    <w:rsid w:val="000D7D2F"/>
    <w:rsid w:val="000E310D"/>
    <w:rsid w:val="000E324C"/>
    <w:rsid w:val="000E4A8F"/>
    <w:rsid w:val="000E57D7"/>
    <w:rsid w:val="000F2493"/>
    <w:rsid w:val="000F2562"/>
    <w:rsid w:val="000F33C9"/>
    <w:rsid w:val="000F3562"/>
    <w:rsid w:val="000F6A41"/>
    <w:rsid w:val="0010123D"/>
    <w:rsid w:val="00102238"/>
    <w:rsid w:val="00102EE8"/>
    <w:rsid w:val="00105453"/>
    <w:rsid w:val="00105EBE"/>
    <w:rsid w:val="00106268"/>
    <w:rsid w:val="001069C1"/>
    <w:rsid w:val="00107EAC"/>
    <w:rsid w:val="001117A9"/>
    <w:rsid w:val="00111B83"/>
    <w:rsid w:val="00111DFE"/>
    <w:rsid w:val="001145FD"/>
    <w:rsid w:val="00115B2E"/>
    <w:rsid w:val="0011628E"/>
    <w:rsid w:val="0012105C"/>
    <w:rsid w:val="00122CF3"/>
    <w:rsid w:val="0012443F"/>
    <w:rsid w:val="00125706"/>
    <w:rsid w:val="00125FFF"/>
    <w:rsid w:val="00126411"/>
    <w:rsid w:val="00133157"/>
    <w:rsid w:val="001363E7"/>
    <w:rsid w:val="00136E08"/>
    <w:rsid w:val="001376CC"/>
    <w:rsid w:val="00140697"/>
    <w:rsid w:val="0014178A"/>
    <w:rsid w:val="00141DFA"/>
    <w:rsid w:val="00144B84"/>
    <w:rsid w:val="001455C8"/>
    <w:rsid w:val="001539F3"/>
    <w:rsid w:val="001541CC"/>
    <w:rsid w:val="0015687E"/>
    <w:rsid w:val="001627AC"/>
    <w:rsid w:val="00162DFD"/>
    <w:rsid w:val="00166A45"/>
    <w:rsid w:val="0016764A"/>
    <w:rsid w:val="001677A6"/>
    <w:rsid w:val="00167FA6"/>
    <w:rsid w:val="00174954"/>
    <w:rsid w:val="00177AEC"/>
    <w:rsid w:val="001813E5"/>
    <w:rsid w:val="00181C28"/>
    <w:rsid w:val="00182E9E"/>
    <w:rsid w:val="00183D21"/>
    <w:rsid w:val="00183F40"/>
    <w:rsid w:val="0018442E"/>
    <w:rsid w:val="001863BF"/>
    <w:rsid w:val="0018651A"/>
    <w:rsid w:val="001874CA"/>
    <w:rsid w:val="00187BCA"/>
    <w:rsid w:val="00190D7B"/>
    <w:rsid w:val="00192367"/>
    <w:rsid w:val="001929D8"/>
    <w:rsid w:val="00192C01"/>
    <w:rsid w:val="00194124"/>
    <w:rsid w:val="00194716"/>
    <w:rsid w:val="00197414"/>
    <w:rsid w:val="00197921"/>
    <w:rsid w:val="001A3D4F"/>
    <w:rsid w:val="001A3F28"/>
    <w:rsid w:val="001A43ED"/>
    <w:rsid w:val="001A5155"/>
    <w:rsid w:val="001A5DCC"/>
    <w:rsid w:val="001A6B50"/>
    <w:rsid w:val="001B2295"/>
    <w:rsid w:val="001B2967"/>
    <w:rsid w:val="001B2B4F"/>
    <w:rsid w:val="001B3A29"/>
    <w:rsid w:val="001B4C51"/>
    <w:rsid w:val="001B540E"/>
    <w:rsid w:val="001B72EC"/>
    <w:rsid w:val="001B7644"/>
    <w:rsid w:val="001C2E14"/>
    <w:rsid w:val="001C2FF0"/>
    <w:rsid w:val="001C5117"/>
    <w:rsid w:val="001C6B48"/>
    <w:rsid w:val="001C762E"/>
    <w:rsid w:val="001C78AE"/>
    <w:rsid w:val="001C7E9A"/>
    <w:rsid w:val="001D116D"/>
    <w:rsid w:val="001D2DA0"/>
    <w:rsid w:val="001D32FF"/>
    <w:rsid w:val="001D45A4"/>
    <w:rsid w:val="001E3E20"/>
    <w:rsid w:val="001E4CB5"/>
    <w:rsid w:val="001E5623"/>
    <w:rsid w:val="001E5AC2"/>
    <w:rsid w:val="001E6DC2"/>
    <w:rsid w:val="001E7840"/>
    <w:rsid w:val="001E7CF5"/>
    <w:rsid w:val="001F2C0E"/>
    <w:rsid w:val="001F41D9"/>
    <w:rsid w:val="001F50DA"/>
    <w:rsid w:val="001F6CF6"/>
    <w:rsid w:val="00201E14"/>
    <w:rsid w:val="00202D25"/>
    <w:rsid w:val="00203245"/>
    <w:rsid w:val="00203CE7"/>
    <w:rsid w:val="00203E47"/>
    <w:rsid w:val="0020580D"/>
    <w:rsid w:val="00205F44"/>
    <w:rsid w:val="002073F2"/>
    <w:rsid w:val="002105F8"/>
    <w:rsid w:val="0021247A"/>
    <w:rsid w:val="00212A23"/>
    <w:rsid w:val="002135F3"/>
    <w:rsid w:val="002143FC"/>
    <w:rsid w:val="00214D6E"/>
    <w:rsid w:val="00215EE7"/>
    <w:rsid w:val="00221F1A"/>
    <w:rsid w:val="00223D87"/>
    <w:rsid w:val="0022449D"/>
    <w:rsid w:val="00224EF3"/>
    <w:rsid w:val="0022512C"/>
    <w:rsid w:val="002268AB"/>
    <w:rsid w:val="00226F00"/>
    <w:rsid w:val="002270CA"/>
    <w:rsid w:val="0022749C"/>
    <w:rsid w:val="00227C77"/>
    <w:rsid w:val="002309D7"/>
    <w:rsid w:val="00231CED"/>
    <w:rsid w:val="0023316F"/>
    <w:rsid w:val="00233887"/>
    <w:rsid w:val="00233A88"/>
    <w:rsid w:val="0024170C"/>
    <w:rsid w:val="00241B9A"/>
    <w:rsid w:val="0024226F"/>
    <w:rsid w:val="002423BD"/>
    <w:rsid w:val="00242738"/>
    <w:rsid w:val="0024425F"/>
    <w:rsid w:val="00245342"/>
    <w:rsid w:val="00245E1D"/>
    <w:rsid w:val="002462BD"/>
    <w:rsid w:val="0024776E"/>
    <w:rsid w:val="0025222D"/>
    <w:rsid w:val="00253937"/>
    <w:rsid w:val="00254D4A"/>
    <w:rsid w:val="00254E7C"/>
    <w:rsid w:val="002571CA"/>
    <w:rsid w:val="002573CE"/>
    <w:rsid w:val="00257440"/>
    <w:rsid w:val="0025747A"/>
    <w:rsid w:val="00260712"/>
    <w:rsid w:val="00263339"/>
    <w:rsid w:val="0026663D"/>
    <w:rsid w:val="00271453"/>
    <w:rsid w:val="00271E2C"/>
    <w:rsid w:val="00273FF4"/>
    <w:rsid w:val="00277E31"/>
    <w:rsid w:val="002809F6"/>
    <w:rsid w:val="00283303"/>
    <w:rsid w:val="00285E13"/>
    <w:rsid w:val="00287F32"/>
    <w:rsid w:val="00290329"/>
    <w:rsid w:val="00290684"/>
    <w:rsid w:val="0029134D"/>
    <w:rsid w:val="00291DB8"/>
    <w:rsid w:val="00293435"/>
    <w:rsid w:val="00293802"/>
    <w:rsid w:val="00294D1D"/>
    <w:rsid w:val="002978C8"/>
    <w:rsid w:val="002A0B32"/>
    <w:rsid w:val="002A21C2"/>
    <w:rsid w:val="002A3FF6"/>
    <w:rsid w:val="002A4B83"/>
    <w:rsid w:val="002A50D5"/>
    <w:rsid w:val="002A6430"/>
    <w:rsid w:val="002A79C5"/>
    <w:rsid w:val="002A7D14"/>
    <w:rsid w:val="002B16A9"/>
    <w:rsid w:val="002B4DE7"/>
    <w:rsid w:val="002B78D8"/>
    <w:rsid w:val="002C26D9"/>
    <w:rsid w:val="002D0DE9"/>
    <w:rsid w:val="002D1372"/>
    <w:rsid w:val="002D49D1"/>
    <w:rsid w:val="002D4C8E"/>
    <w:rsid w:val="002D527C"/>
    <w:rsid w:val="002E0717"/>
    <w:rsid w:val="002E07BF"/>
    <w:rsid w:val="002E2069"/>
    <w:rsid w:val="002E55EA"/>
    <w:rsid w:val="002E6655"/>
    <w:rsid w:val="002F417B"/>
    <w:rsid w:val="002F6830"/>
    <w:rsid w:val="002F6ADC"/>
    <w:rsid w:val="002F7018"/>
    <w:rsid w:val="00300C95"/>
    <w:rsid w:val="003054A8"/>
    <w:rsid w:val="00306770"/>
    <w:rsid w:val="00306A17"/>
    <w:rsid w:val="00307DA3"/>
    <w:rsid w:val="003105A7"/>
    <w:rsid w:val="00311434"/>
    <w:rsid w:val="00312C24"/>
    <w:rsid w:val="0031389D"/>
    <w:rsid w:val="003200B7"/>
    <w:rsid w:val="00320E44"/>
    <w:rsid w:val="00323BF8"/>
    <w:rsid w:val="003261A4"/>
    <w:rsid w:val="00327D31"/>
    <w:rsid w:val="003305CA"/>
    <w:rsid w:val="00336A52"/>
    <w:rsid w:val="00337091"/>
    <w:rsid w:val="00337579"/>
    <w:rsid w:val="00337ECB"/>
    <w:rsid w:val="0034064A"/>
    <w:rsid w:val="00340CF6"/>
    <w:rsid w:val="00342201"/>
    <w:rsid w:val="00343687"/>
    <w:rsid w:val="0034564D"/>
    <w:rsid w:val="00346070"/>
    <w:rsid w:val="0034676D"/>
    <w:rsid w:val="0034787E"/>
    <w:rsid w:val="00353390"/>
    <w:rsid w:val="003550BC"/>
    <w:rsid w:val="0035579F"/>
    <w:rsid w:val="00356100"/>
    <w:rsid w:val="00356659"/>
    <w:rsid w:val="00357842"/>
    <w:rsid w:val="00357B56"/>
    <w:rsid w:val="00360E9C"/>
    <w:rsid w:val="0036134D"/>
    <w:rsid w:val="00361E62"/>
    <w:rsid w:val="0036388F"/>
    <w:rsid w:val="00363C02"/>
    <w:rsid w:val="00364259"/>
    <w:rsid w:val="00364529"/>
    <w:rsid w:val="00365052"/>
    <w:rsid w:val="00366A77"/>
    <w:rsid w:val="003715C7"/>
    <w:rsid w:val="00372AC1"/>
    <w:rsid w:val="0037313F"/>
    <w:rsid w:val="00373874"/>
    <w:rsid w:val="003739C0"/>
    <w:rsid w:val="003802F4"/>
    <w:rsid w:val="00380D9C"/>
    <w:rsid w:val="00381C15"/>
    <w:rsid w:val="003831AB"/>
    <w:rsid w:val="0038365F"/>
    <w:rsid w:val="0038431A"/>
    <w:rsid w:val="003849C3"/>
    <w:rsid w:val="00385D06"/>
    <w:rsid w:val="00390C06"/>
    <w:rsid w:val="0039185C"/>
    <w:rsid w:val="00393C13"/>
    <w:rsid w:val="003957E5"/>
    <w:rsid w:val="003972D8"/>
    <w:rsid w:val="003A3389"/>
    <w:rsid w:val="003A4EEE"/>
    <w:rsid w:val="003A5DF9"/>
    <w:rsid w:val="003A5FEE"/>
    <w:rsid w:val="003A63D1"/>
    <w:rsid w:val="003A6D1F"/>
    <w:rsid w:val="003A71C6"/>
    <w:rsid w:val="003A7D80"/>
    <w:rsid w:val="003B0577"/>
    <w:rsid w:val="003B3CA1"/>
    <w:rsid w:val="003B3D0D"/>
    <w:rsid w:val="003B3E03"/>
    <w:rsid w:val="003B668F"/>
    <w:rsid w:val="003C047D"/>
    <w:rsid w:val="003C057E"/>
    <w:rsid w:val="003C17E4"/>
    <w:rsid w:val="003C1E40"/>
    <w:rsid w:val="003C37DD"/>
    <w:rsid w:val="003C3E2A"/>
    <w:rsid w:val="003C4F86"/>
    <w:rsid w:val="003C5CE7"/>
    <w:rsid w:val="003C789B"/>
    <w:rsid w:val="003C78D0"/>
    <w:rsid w:val="003C796A"/>
    <w:rsid w:val="003C7EDE"/>
    <w:rsid w:val="003D7818"/>
    <w:rsid w:val="003E192F"/>
    <w:rsid w:val="003E1D9C"/>
    <w:rsid w:val="003E26C5"/>
    <w:rsid w:val="003F2E2F"/>
    <w:rsid w:val="003F37C6"/>
    <w:rsid w:val="003F424B"/>
    <w:rsid w:val="003F53AE"/>
    <w:rsid w:val="0040153A"/>
    <w:rsid w:val="0040398F"/>
    <w:rsid w:val="004078DE"/>
    <w:rsid w:val="00407AE4"/>
    <w:rsid w:val="00411DA0"/>
    <w:rsid w:val="0041360A"/>
    <w:rsid w:val="00413B68"/>
    <w:rsid w:val="00416424"/>
    <w:rsid w:val="004176BB"/>
    <w:rsid w:val="00417D6A"/>
    <w:rsid w:val="00422AD6"/>
    <w:rsid w:val="004232B0"/>
    <w:rsid w:val="00423A48"/>
    <w:rsid w:val="0042409D"/>
    <w:rsid w:val="00424457"/>
    <w:rsid w:val="0042540F"/>
    <w:rsid w:val="00425E05"/>
    <w:rsid w:val="00430641"/>
    <w:rsid w:val="00433147"/>
    <w:rsid w:val="00435D3E"/>
    <w:rsid w:val="004379CF"/>
    <w:rsid w:val="00441071"/>
    <w:rsid w:val="00441B88"/>
    <w:rsid w:val="00442C7E"/>
    <w:rsid w:val="00450CCE"/>
    <w:rsid w:val="0045323F"/>
    <w:rsid w:val="004542B7"/>
    <w:rsid w:val="004546DC"/>
    <w:rsid w:val="00462369"/>
    <w:rsid w:val="0046391D"/>
    <w:rsid w:val="00463D4E"/>
    <w:rsid w:val="00464F6E"/>
    <w:rsid w:val="00470BA0"/>
    <w:rsid w:val="00473DDD"/>
    <w:rsid w:val="00473E3A"/>
    <w:rsid w:val="00474849"/>
    <w:rsid w:val="0047507F"/>
    <w:rsid w:val="00477164"/>
    <w:rsid w:val="00477439"/>
    <w:rsid w:val="004821B3"/>
    <w:rsid w:val="00483B99"/>
    <w:rsid w:val="00484444"/>
    <w:rsid w:val="004846B9"/>
    <w:rsid w:val="00485A3D"/>
    <w:rsid w:val="00486AA6"/>
    <w:rsid w:val="00486ADA"/>
    <w:rsid w:val="00486B7C"/>
    <w:rsid w:val="00487102"/>
    <w:rsid w:val="00490C62"/>
    <w:rsid w:val="00491C2A"/>
    <w:rsid w:val="00492DF7"/>
    <w:rsid w:val="00494510"/>
    <w:rsid w:val="0049572C"/>
    <w:rsid w:val="00496135"/>
    <w:rsid w:val="0049673E"/>
    <w:rsid w:val="00496C34"/>
    <w:rsid w:val="004A19AE"/>
    <w:rsid w:val="004A2AFD"/>
    <w:rsid w:val="004A37EA"/>
    <w:rsid w:val="004A4424"/>
    <w:rsid w:val="004A7611"/>
    <w:rsid w:val="004A7645"/>
    <w:rsid w:val="004B059D"/>
    <w:rsid w:val="004B08DC"/>
    <w:rsid w:val="004B1102"/>
    <w:rsid w:val="004B1F82"/>
    <w:rsid w:val="004B2066"/>
    <w:rsid w:val="004B20F0"/>
    <w:rsid w:val="004B56B0"/>
    <w:rsid w:val="004C2259"/>
    <w:rsid w:val="004C3DA8"/>
    <w:rsid w:val="004C5917"/>
    <w:rsid w:val="004C5E48"/>
    <w:rsid w:val="004C694F"/>
    <w:rsid w:val="004C6EC0"/>
    <w:rsid w:val="004D0778"/>
    <w:rsid w:val="004D0C3F"/>
    <w:rsid w:val="004D2FEB"/>
    <w:rsid w:val="004D345A"/>
    <w:rsid w:val="004D3839"/>
    <w:rsid w:val="004D38EC"/>
    <w:rsid w:val="004D688F"/>
    <w:rsid w:val="004D75F6"/>
    <w:rsid w:val="004D7AB3"/>
    <w:rsid w:val="004E141A"/>
    <w:rsid w:val="004E196A"/>
    <w:rsid w:val="004E3079"/>
    <w:rsid w:val="004E424B"/>
    <w:rsid w:val="004E44EA"/>
    <w:rsid w:val="004E71A2"/>
    <w:rsid w:val="004E71FE"/>
    <w:rsid w:val="004F1E9B"/>
    <w:rsid w:val="004F208B"/>
    <w:rsid w:val="004F24D0"/>
    <w:rsid w:val="004F53E5"/>
    <w:rsid w:val="004F6AB3"/>
    <w:rsid w:val="004F7335"/>
    <w:rsid w:val="00502E10"/>
    <w:rsid w:val="005030C8"/>
    <w:rsid w:val="005044C7"/>
    <w:rsid w:val="00505009"/>
    <w:rsid w:val="00506BF4"/>
    <w:rsid w:val="00507097"/>
    <w:rsid w:val="0051436A"/>
    <w:rsid w:val="0051600D"/>
    <w:rsid w:val="00516A5A"/>
    <w:rsid w:val="00516FB2"/>
    <w:rsid w:val="005220AA"/>
    <w:rsid w:val="00523303"/>
    <w:rsid w:val="00523C67"/>
    <w:rsid w:val="00524DCE"/>
    <w:rsid w:val="00524E76"/>
    <w:rsid w:val="00525050"/>
    <w:rsid w:val="0053110F"/>
    <w:rsid w:val="00532A14"/>
    <w:rsid w:val="005335CF"/>
    <w:rsid w:val="00533FEF"/>
    <w:rsid w:val="00534FB9"/>
    <w:rsid w:val="00535993"/>
    <w:rsid w:val="00535C81"/>
    <w:rsid w:val="00537F04"/>
    <w:rsid w:val="005427E8"/>
    <w:rsid w:val="005436E5"/>
    <w:rsid w:val="00544BD9"/>
    <w:rsid w:val="00545C63"/>
    <w:rsid w:val="00546579"/>
    <w:rsid w:val="00546D8E"/>
    <w:rsid w:val="00546FDD"/>
    <w:rsid w:val="00551340"/>
    <w:rsid w:val="00551628"/>
    <w:rsid w:val="00553B43"/>
    <w:rsid w:val="005544D7"/>
    <w:rsid w:val="005560CE"/>
    <w:rsid w:val="005572CE"/>
    <w:rsid w:val="005606FD"/>
    <w:rsid w:val="0056266D"/>
    <w:rsid w:val="005647C3"/>
    <w:rsid w:val="00565A52"/>
    <w:rsid w:val="00566AD8"/>
    <w:rsid w:val="00570B86"/>
    <w:rsid w:val="00572C3E"/>
    <w:rsid w:val="005732EB"/>
    <w:rsid w:val="00577081"/>
    <w:rsid w:val="005803BF"/>
    <w:rsid w:val="00582FAD"/>
    <w:rsid w:val="00585F7E"/>
    <w:rsid w:val="0058604D"/>
    <w:rsid w:val="00587016"/>
    <w:rsid w:val="005935D4"/>
    <w:rsid w:val="00594ABF"/>
    <w:rsid w:val="005A11E6"/>
    <w:rsid w:val="005A12E5"/>
    <w:rsid w:val="005A2484"/>
    <w:rsid w:val="005A352B"/>
    <w:rsid w:val="005A483F"/>
    <w:rsid w:val="005A6A61"/>
    <w:rsid w:val="005A7F4A"/>
    <w:rsid w:val="005B0968"/>
    <w:rsid w:val="005B11E0"/>
    <w:rsid w:val="005B2069"/>
    <w:rsid w:val="005B207E"/>
    <w:rsid w:val="005B2484"/>
    <w:rsid w:val="005B2602"/>
    <w:rsid w:val="005B260A"/>
    <w:rsid w:val="005B2F64"/>
    <w:rsid w:val="005B3871"/>
    <w:rsid w:val="005B5D6E"/>
    <w:rsid w:val="005B659D"/>
    <w:rsid w:val="005B6783"/>
    <w:rsid w:val="005B6B98"/>
    <w:rsid w:val="005C1326"/>
    <w:rsid w:val="005C28EE"/>
    <w:rsid w:val="005C3527"/>
    <w:rsid w:val="005C4B02"/>
    <w:rsid w:val="005D0BA7"/>
    <w:rsid w:val="005D3104"/>
    <w:rsid w:val="005D3168"/>
    <w:rsid w:val="005D380A"/>
    <w:rsid w:val="005D3E7F"/>
    <w:rsid w:val="005D6BC0"/>
    <w:rsid w:val="005E045A"/>
    <w:rsid w:val="005E0D7A"/>
    <w:rsid w:val="005E5D50"/>
    <w:rsid w:val="005E62D6"/>
    <w:rsid w:val="005F0FBF"/>
    <w:rsid w:val="005F1424"/>
    <w:rsid w:val="005F16FD"/>
    <w:rsid w:val="005F3DE5"/>
    <w:rsid w:val="005F4F45"/>
    <w:rsid w:val="005F73F1"/>
    <w:rsid w:val="0060042D"/>
    <w:rsid w:val="006014A0"/>
    <w:rsid w:val="0060245C"/>
    <w:rsid w:val="0060263F"/>
    <w:rsid w:val="006070F7"/>
    <w:rsid w:val="00610DFF"/>
    <w:rsid w:val="0061232A"/>
    <w:rsid w:val="006142B1"/>
    <w:rsid w:val="0061448C"/>
    <w:rsid w:val="00614971"/>
    <w:rsid w:val="00614DAA"/>
    <w:rsid w:val="00620C8F"/>
    <w:rsid w:val="00621D24"/>
    <w:rsid w:val="00624523"/>
    <w:rsid w:val="00624E62"/>
    <w:rsid w:val="00625A1C"/>
    <w:rsid w:val="00625C51"/>
    <w:rsid w:val="00627218"/>
    <w:rsid w:val="00631822"/>
    <w:rsid w:val="0063187A"/>
    <w:rsid w:val="00632441"/>
    <w:rsid w:val="0063266C"/>
    <w:rsid w:val="00632A06"/>
    <w:rsid w:val="00633930"/>
    <w:rsid w:val="00633EE3"/>
    <w:rsid w:val="0063403F"/>
    <w:rsid w:val="0063484A"/>
    <w:rsid w:val="00634866"/>
    <w:rsid w:val="006355D1"/>
    <w:rsid w:val="00635A13"/>
    <w:rsid w:val="00635DD4"/>
    <w:rsid w:val="00637692"/>
    <w:rsid w:val="006417A4"/>
    <w:rsid w:val="006446CA"/>
    <w:rsid w:val="00646A0A"/>
    <w:rsid w:val="0064704A"/>
    <w:rsid w:val="0065317C"/>
    <w:rsid w:val="00654F18"/>
    <w:rsid w:val="0065583B"/>
    <w:rsid w:val="00657129"/>
    <w:rsid w:val="00661BFA"/>
    <w:rsid w:val="00662CE1"/>
    <w:rsid w:val="006639BE"/>
    <w:rsid w:val="006675B6"/>
    <w:rsid w:val="006679BC"/>
    <w:rsid w:val="00671035"/>
    <w:rsid w:val="00680082"/>
    <w:rsid w:val="006815CC"/>
    <w:rsid w:val="006829A6"/>
    <w:rsid w:val="006845CA"/>
    <w:rsid w:val="0068575A"/>
    <w:rsid w:val="00686A14"/>
    <w:rsid w:val="00686C25"/>
    <w:rsid w:val="00687856"/>
    <w:rsid w:val="006916AD"/>
    <w:rsid w:val="00692058"/>
    <w:rsid w:val="00694B4F"/>
    <w:rsid w:val="00696C60"/>
    <w:rsid w:val="006971ED"/>
    <w:rsid w:val="006A118D"/>
    <w:rsid w:val="006A143D"/>
    <w:rsid w:val="006A266A"/>
    <w:rsid w:val="006A2A15"/>
    <w:rsid w:val="006A391B"/>
    <w:rsid w:val="006A3972"/>
    <w:rsid w:val="006A5171"/>
    <w:rsid w:val="006A6CF4"/>
    <w:rsid w:val="006A712D"/>
    <w:rsid w:val="006B1876"/>
    <w:rsid w:val="006B654B"/>
    <w:rsid w:val="006B6774"/>
    <w:rsid w:val="006B7E49"/>
    <w:rsid w:val="006C174F"/>
    <w:rsid w:val="006C5329"/>
    <w:rsid w:val="006C5B1F"/>
    <w:rsid w:val="006C6727"/>
    <w:rsid w:val="006C6B6C"/>
    <w:rsid w:val="006C7ABB"/>
    <w:rsid w:val="006D166C"/>
    <w:rsid w:val="006D27A6"/>
    <w:rsid w:val="006D35B3"/>
    <w:rsid w:val="006D3EE7"/>
    <w:rsid w:val="006D6016"/>
    <w:rsid w:val="006D645B"/>
    <w:rsid w:val="006D6960"/>
    <w:rsid w:val="006D712D"/>
    <w:rsid w:val="006E101D"/>
    <w:rsid w:val="006E3021"/>
    <w:rsid w:val="006E5BF0"/>
    <w:rsid w:val="006E6F8C"/>
    <w:rsid w:val="006E76BE"/>
    <w:rsid w:val="006F0918"/>
    <w:rsid w:val="006F163C"/>
    <w:rsid w:val="006F2372"/>
    <w:rsid w:val="006F2C63"/>
    <w:rsid w:val="006F35EC"/>
    <w:rsid w:val="006F4E9A"/>
    <w:rsid w:val="006F56A2"/>
    <w:rsid w:val="006F61D3"/>
    <w:rsid w:val="006F61F7"/>
    <w:rsid w:val="006F6E04"/>
    <w:rsid w:val="00700BCC"/>
    <w:rsid w:val="00705AD6"/>
    <w:rsid w:val="00713A60"/>
    <w:rsid w:val="0071637E"/>
    <w:rsid w:val="0071701E"/>
    <w:rsid w:val="00717216"/>
    <w:rsid w:val="00722F56"/>
    <w:rsid w:val="0072368D"/>
    <w:rsid w:val="007252F1"/>
    <w:rsid w:val="007258DD"/>
    <w:rsid w:val="007260D7"/>
    <w:rsid w:val="00727B46"/>
    <w:rsid w:val="0073272A"/>
    <w:rsid w:val="00732A2C"/>
    <w:rsid w:val="00733AC6"/>
    <w:rsid w:val="00734007"/>
    <w:rsid w:val="007343B8"/>
    <w:rsid w:val="007353E8"/>
    <w:rsid w:val="00736715"/>
    <w:rsid w:val="00736B3A"/>
    <w:rsid w:val="00740BFA"/>
    <w:rsid w:val="00742673"/>
    <w:rsid w:val="007441A6"/>
    <w:rsid w:val="00746465"/>
    <w:rsid w:val="007470A9"/>
    <w:rsid w:val="00751B93"/>
    <w:rsid w:val="007538C5"/>
    <w:rsid w:val="00754AD3"/>
    <w:rsid w:val="00755D9B"/>
    <w:rsid w:val="00756CB7"/>
    <w:rsid w:val="007600FA"/>
    <w:rsid w:val="0076093D"/>
    <w:rsid w:val="00761DA0"/>
    <w:rsid w:val="00761ECB"/>
    <w:rsid w:val="007622D7"/>
    <w:rsid w:val="0076240A"/>
    <w:rsid w:val="00763C68"/>
    <w:rsid w:val="0076505A"/>
    <w:rsid w:val="007654E1"/>
    <w:rsid w:val="00766985"/>
    <w:rsid w:val="0077160F"/>
    <w:rsid w:val="00772265"/>
    <w:rsid w:val="007753BD"/>
    <w:rsid w:val="00775F5E"/>
    <w:rsid w:val="00776116"/>
    <w:rsid w:val="007825F2"/>
    <w:rsid w:val="00784A3C"/>
    <w:rsid w:val="0079017D"/>
    <w:rsid w:val="00793BD7"/>
    <w:rsid w:val="0079452B"/>
    <w:rsid w:val="0079466D"/>
    <w:rsid w:val="00795724"/>
    <w:rsid w:val="00795767"/>
    <w:rsid w:val="007957A6"/>
    <w:rsid w:val="00796931"/>
    <w:rsid w:val="00796993"/>
    <w:rsid w:val="007974F2"/>
    <w:rsid w:val="007A1F91"/>
    <w:rsid w:val="007A238F"/>
    <w:rsid w:val="007A4195"/>
    <w:rsid w:val="007A5E15"/>
    <w:rsid w:val="007A6ADF"/>
    <w:rsid w:val="007A6E4D"/>
    <w:rsid w:val="007A7850"/>
    <w:rsid w:val="007B0678"/>
    <w:rsid w:val="007B4E8F"/>
    <w:rsid w:val="007B6953"/>
    <w:rsid w:val="007B6F1B"/>
    <w:rsid w:val="007B7784"/>
    <w:rsid w:val="007C1094"/>
    <w:rsid w:val="007C32DB"/>
    <w:rsid w:val="007C3CD0"/>
    <w:rsid w:val="007C6BEC"/>
    <w:rsid w:val="007D4EB7"/>
    <w:rsid w:val="007D6F47"/>
    <w:rsid w:val="007D7D84"/>
    <w:rsid w:val="007E013D"/>
    <w:rsid w:val="007E0975"/>
    <w:rsid w:val="007E113B"/>
    <w:rsid w:val="007E1544"/>
    <w:rsid w:val="007E3024"/>
    <w:rsid w:val="007E36DA"/>
    <w:rsid w:val="007E36E4"/>
    <w:rsid w:val="007E4A17"/>
    <w:rsid w:val="007E5D73"/>
    <w:rsid w:val="007E5E07"/>
    <w:rsid w:val="007E7046"/>
    <w:rsid w:val="007E7BF4"/>
    <w:rsid w:val="007F0B9B"/>
    <w:rsid w:val="007F1AF7"/>
    <w:rsid w:val="007F3A63"/>
    <w:rsid w:val="007F4D40"/>
    <w:rsid w:val="007F53C0"/>
    <w:rsid w:val="007F61E3"/>
    <w:rsid w:val="007F738A"/>
    <w:rsid w:val="00800149"/>
    <w:rsid w:val="00803D78"/>
    <w:rsid w:val="0080512C"/>
    <w:rsid w:val="00810514"/>
    <w:rsid w:val="00810A42"/>
    <w:rsid w:val="00812D06"/>
    <w:rsid w:val="008139FB"/>
    <w:rsid w:val="00813D66"/>
    <w:rsid w:val="00814B3B"/>
    <w:rsid w:val="00817D2E"/>
    <w:rsid w:val="00823EDE"/>
    <w:rsid w:val="00825164"/>
    <w:rsid w:val="0082786F"/>
    <w:rsid w:val="008310B0"/>
    <w:rsid w:val="00831D8A"/>
    <w:rsid w:val="008337C1"/>
    <w:rsid w:val="00842D45"/>
    <w:rsid w:val="00843968"/>
    <w:rsid w:val="00844032"/>
    <w:rsid w:val="00844E9B"/>
    <w:rsid w:val="00845533"/>
    <w:rsid w:val="00845A30"/>
    <w:rsid w:val="00847719"/>
    <w:rsid w:val="008504A1"/>
    <w:rsid w:val="008518C9"/>
    <w:rsid w:val="00852A00"/>
    <w:rsid w:val="00852BF3"/>
    <w:rsid w:val="0085514B"/>
    <w:rsid w:val="00856F96"/>
    <w:rsid w:val="00861030"/>
    <w:rsid w:val="008616B9"/>
    <w:rsid w:val="00864827"/>
    <w:rsid w:val="008652F4"/>
    <w:rsid w:val="008703D2"/>
    <w:rsid w:val="00871B50"/>
    <w:rsid w:val="00874730"/>
    <w:rsid w:val="0088159C"/>
    <w:rsid w:val="0088211A"/>
    <w:rsid w:val="0088233B"/>
    <w:rsid w:val="00882DDA"/>
    <w:rsid w:val="00884F56"/>
    <w:rsid w:val="008854F6"/>
    <w:rsid w:val="00886667"/>
    <w:rsid w:val="00886BC4"/>
    <w:rsid w:val="008876B8"/>
    <w:rsid w:val="0089109C"/>
    <w:rsid w:val="00891452"/>
    <w:rsid w:val="008924B1"/>
    <w:rsid w:val="00893642"/>
    <w:rsid w:val="00893763"/>
    <w:rsid w:val="00895609"/>
    <w:rsid w:val="0089614F"/>
    <w:rsid w:val="00896CA8"/>
    <w:rsid w:val="008972E4"/>
    <w:rsid w:val="00897E0C"/>
    <w:rsid w:val="008A02F3"/>
    <w:rsid w:val="008A08D1"/>
    <w:rsid w:val="008A1C1D"/>
    <w:rsid w:val="008A2454"/>
    <w:rsid w:val="008A3E5D"/>
    <w:rsid w:val="008A48CA"/>
    <w:rsid w:val="008A6361"/>
    <w:rsid w:val="008A6AFC"/>
    <w:rsid w:val="008B0D5E"/>
    <w:rsid w:val="008B2938"/>
    <w:rsid w:val="008B2F0E"/>
    <w:rsid w:val="008B395C"/>
    <w:rsid w:val="008B3BC5"/>
    <w:rsid w:val="008B40E0"/>
    <w:rsid w:val="008B6950"/>
    <w:rsid w:val="008B6BA5"/>
    <w:rsid w:val="008C1A01"/>
    <w:rsid w:val="008C2925"/>
    <w:rsid w:val="008C5773"/>
    <w:rsid w:val="008C5DB8"/>
    <w:rsid w:val="008D001F"/>
    <w:rsid w:val="008D0B6C"/>
    <w:rsid w:val="008D0CA6"/>
    <w:rsid w:val="008D0CB2"/>
    <w:rsid w:val="008D1699"/>
    <w:rsid w:val="008D2243"/>
    <w:rsid w:val="008D3E54"/>
    <w:rsid w:val="008D4CD0"/>
    <w:rsid w:val="008D5358"/>
    <w:rsid w:val="008E0180"/>
    <w:rsid w:val="008E04BD"/>
    <w:rsid w:val="008E0FAB"/>
    <w:rsid w:val="008E1EBA"/>
    <w:rsid w:val="008E35A5"/>
    <w:rsid w:val="008E3B43"/>
    <w:rsid w:val="008E467E"/>
    <w:rsid w:val="008E68C4"/>
    <w:rsid w:val="008E7DAB"/>
    <w:rsid w:val="008F0B15"/>
    <w:rsid w:val="008F1AA6"/>
    <w:rsid w:val="008F2068"/>
    <w:rsid w:val="008F2145"/>
    <w:rsid w:val="008F2212"/>
    <w:rsid w:val="008F2B1F"/>
    <w:rsid w:val="008F2EFA"/>
    <w:rsid w:val="008F5AB7"/>
    <w:rsid w:val="008F73C8"/>
    <w:rsid w:val="008F76BB"/>
    <w:rsid w:val="008F7E69"/>
    <w:rsid w:val="00900CC0"/>
    <w:rsid w:val="009015E0"/>
    <w:rsid w:val="00902593"/>
    <w:rsid w:val="0090295F"/>
    <w:rsid w:val="00903786"/>
    <w:rsid w:val="00903AB2"/>
    <w:rsid w:val="00904C61"/>
    <w:rsid w:val="00905651"/>
    <w:rsid w:val="00905F29"/>
    <w:rsid w:val="0090600B"/>
    <w:rsid w:val="0090719E"/>
    <w:rsid w:val="0091021A"/>
    <w:rsid w:val="0091069F"/>
    <w:rsid w:val="009109AA"/>
    <w:rsid w:val="009115C0"/>
    <w:rsid w:val="00911E6B"/>
    <w:rsid w:val="00911EB9"/>
    <w:rsid w:val="00912830"/>
    <w:rsid w:val="009136C0"/>
    <w:rsid w:val="00916A53"/>
    <w:rsid w:val="0092112B"/>
    <w:rsid w:val="00921BD8"/>
    <w:rsid w:val="00922B24"/>
    <w:rsid w:val="00926879"/>
    <w:rsid w:val="00933C8C"/>
    <w:rsid w:val="009346AC"/>
    <w:rsid w:val="00934C91"/>
    <w:rsid w:val="00934D68"/>
    <w:rsid w:val="009366CD"/>
    <w:rsid w:val="009367F6"/>
    <w:rsid w:val="0093741D"/>
    <w:rsid w:val="009376F6"/>
    <w:rsid w:val="00940337"/>
    <w:rsid w:val="009409AD"/>
    <w:rsid w:val="00941F69"/>
    <w:rsid w:val="00942CB3"/>
    <w:rsid w:val="00944174"/>
    <w:rsid w:val="0094577E"/>
    <w:rsid w:val="00951323"/>
    <w:rsid w:val="00951652"/>
    <w:rsid w:val="00952F2F"/>
    <w:rsid w:val="0095343A"/>
    <w:rsid w:val="00960142"/>
    <w:rsid w:val="00961826"/>
    <w:rsid w:val="00964EFA"/>
    <w:rsid w:val="009655B1"/>
    <w:rsid w:val="00965C4B"/>
    <w:rsid w:val="009673DC"/>
    <w:rsid w:val="00967E71"/>
    <w:rsid w:val="009701AE"/>
    <w:rsid w:val="00972CD5"/>
    <w:rsid w:val="00973681"/>
    <w:rsid w:val="009757BB"/>
    <w:rsid w:val="00976B3B"/>
    <w:rsid w:val="0097701F"/>
    <w:rsid w:val="00977E45"/>
    <w:rsid w:val="00980D1F"/>
    <w:rsid w:val="0098130C"/>
    <w:rsid w:val="0098151F"/>
    <w:rsid w:val="00983302"/>
    <w:rsid w:val="00986A46"/>
    <w:rsid w:val="00987B55"/>
    <w:rsid w:val="0099009A"/>
    <w:rsid w:val="00990152"/>
    <w:rsid w:val="009906A6"/>
    <w:rsid w:val="009907F9"/>
    <w:rsid w:val="00991C31"/>
    <w:rsid w:val="00992ADC"/>
    <w:rsid w:val="00994A0C"/>
    <w:rsid w:val="00996CBC"/>
    <w:rsid w:val="00996FA1"/>
    <w:rsid w:val="009A1A49"/>
    <w:rsid w:val="009A1C6D"/>
    <w:rsid w:val="009A50AF"/>
    <w:rsid w:val="009A56C3"/>
    <w:rsid w:val="009A5C17"/>
    <w:rsid w:val="009A6D32"/>
    <w:rsid w:val="009A71C4"/>
    <w:rsid w:val="009A7E40"/>
    <w:rsid w:val="009B15EC"/>
    <w:rsid w:val="009B1746"/>
    <w:rsid w:val="009B1781"/>
    <w:rsid w:val="009B1A79"/>
    <w:rsid w:val="009B1FC0"/>
    <w:rsid w:val="009B2546"/>
    <w:rsid w:val="009B426A"/>
    <w:rsid w:val="009B464D"/>
    <w:rsid w:val="009B49D9"/>
    <w:rsid w:val="009B6426"/>
    <w:rsid w:val="009C0963"/>
    <w:rsid w:val="009C1F90"/>
    <w:rsid w:val="009C2699"/>
    <w:rsid w:val="009C482B"/>
    <w:rsid w:val="009C4AE5"/>
    <w:rsid w:val="009C66A3"/>
    <w:rsid w:val="009D1861"/>
    <w:rsid w:val="009D4604"/>
    <w:rsid w:val="009D616A"/>
    <w:rsid w:val="009E2DF9"/>
    <w:rsid w:val="009E389B"/>
    <w:rsid w:val="009E5776"/>
    <w:rsid w:val="009E6061"/>
    <w:rsid w:val="009E6D8F"/>
    <w:rsid w:val="009E753C"/>
    <w:rsid w:val="009F1E8D"/>
    <w:rsid w:val="009F387D"/>
    <w:rsid w:val="009F3B17"/>
    <w:rsid w:val="00A01086"/>
    <w:rsid w:val="00A011AC"/>
    <w:rsid w:val="00A01526"/>
    <w:rsid w:val="00A05661"/>
    <w:rsid w:val="00A05E57"/>
    <w:rsid w:val="00A06B07"/>
    <w:rsid w:val="00A1120D"/>
    <w:rsid w:val="00A114FD"/>
    <w:rsid w:val="00A13CB3"/>
    <w:rsid w:val="00A13F0D"/>
    <w:rsid w:val="00A15DB7"/>
    <w:rsid w:val="00A17503"/>
    <w:rsid w:val="00A20FFB"/>
    <w:rsid w:val="00A215B3"/>
    <w:rsid w:val="00A22FBE"/>
    <w:rsid w:val="00A24750"/>
    <w:rsid w:val="00A24C4E"/>
    <w:rsid w:val="00A24D20"/>
    <w:rsid w:val="00A26691"/>
    <w:rsid w:val="00A32C4E"/>
    <w:rsid w:val="00A3452B"/>
    <w:rsid w:val="00A34ABD"/>
    <w:rsid w:val="00A35D0F"/>
    <w:rsid w:val="00A361E9"/>
    <w:rsid w:val="00A3682B"/>
    <w:rsid w:val="00A40839"/>
    <w:rsid w:val="00A432D5"/>
    <w:rsid w:val="00A43A93"/>
    <w:rsid w:val="00A44D83"/>
    <w:rsid w:val="00A45CD0"/>
    <w:rsid w:val="00A46A9A"/>
    <w:rsid w:val="00A47043"/>
    <w:rsid w:val="00A4780C"/>
    <w:rsid w:val="00A47942"/>
    <w:rsid w:val="00A50111"/>
    <w:rsid w:val="00A51099"/>
    <w:rsid w:val="00A521AA"/>
    <w:rsid w:val="00A52C22"/>
    <w:rsid w:val="00A549E9"/>
    <w:rsid w:val="00A55C04"/>
    <w:rsid w:val="00A55C47"/>
    <w:rsid w:val="00A55DF4"/>
    <w:rsid w:val="00A57604"/>
    <w:rsid w:val="00A57C19"/>
    <w:rsid w:val="00A60022"/>
    <w:rsid w:val="00A60994"/>
    <w:rsid w:val="00A616BE"/>
    <w:rsid w:val="00A6433A"/>
    <w:rsid w:val="00A6514E"/>
    <w:rsid w:val="00A651E4"/>
    <w:rsid w:val="00A65CE2"/>
    <w:rsid w:val="00A668C0"/>
    <w:rsid w:val="00A716AF"/>
    <w:rsid w:val="00A71B89"/>
    <w:rsid w:val="00A723CC"/>
    <w:rsid w:val="00A80E98"/>
    <w:rsid w:val="00A82EAD"/>
    <w:rsid w:val="00A8449C"/>
    <w:rsid w:val="00A84C3C"/>
    <w:rsid w:val="00A85E68"/>
    <w:rsid w:val="00A87607"/>
    <w:rsid w:val="00A87F4B"/>
    <w:rsid w:val="00A904CE"/>
    <w:rsid w:val="00A90617"/>
    <w:rsid w:val="00A909A3"/>
    <w:rsid w:val="00A91BD2"/>
    <w:rsid w:val="00A92495"/>
    <w:rsid w:val="00A924F1"/>
    <w:rsid w:val="00A927D9"/>
    <w:rsid w:val="00A93B96"/>
    <w:rsid w:val="00A940BE"/>
    <w:rsid w:val="00A944E0"/>
    <w:rsid w:val="00A96316"/>
    <w:rsid w:val="00A9658A"/>
    <w:rsid w:val="00A970ED"/>
    <w:rsid w:val="00AA000D"/>
    <w:rsid w:val="00AA0F6F"/>
    <w:rsid w:val="00AA26BC"/>
    <w:rsid w:val="00AA553F"/>
    <w:rsid w:val="00AA64C8"/>
    <w:rsid w:val="00AA7BB0"/>
    <w:rsid w:val="00AB02E4"/>
    <w:rsid w:val="00AB3D33"/>
    <w:rsid w:val="00AB481F"/>
    <w:rsid w:val="00AB532C"/>
    <w:rsid w:val="00AC09D9"/>
    <w:rsid w:val="00AC1B27"/>
    <w:rsid w:val="00AC2032"/>
    <w:rsid w:val="00AC4C62"/>
    <w:rsid w:val="00AC60D4"/>
    <w:rsid w:val="00AC7CB4"/>
    <w:rsid w:val="00AD0905"/>
    <w:rsid w:val="00AD5485"/>
    <w:rsid w:val="00AD6169"/>
    <w:rsid w:val="00AE07B4"/>
    <w:rsid w:val="00AE39EE"/>
    <w:rsid w:val="00AE3C4B"/>
    <w:rsid w:val="00AE53E5"/>
    <w:rsid w:val="00AE5D42"/>
    <w:rsid w:val="00AE741B"/>
    <w:rsid w:val="00AE7902"/>
    <w:rsid w:val="00AF0A6D"/>
    <w:rsid w:val="00B00316"/>
    <w:rsid w:val="00B00466"/>
    <w:rsid w:val="00B05274"/>
    <w:rsid w:val="00B06A17"/>
    <w:rsid w:val="00B072B3"/>
    <w:rsid w:val="00B0773D"/>
    <w:rsid w:val="00B129C3"/>
    <w:rsid w:val="00B12F5C"/>
    <w:rsid w:val="00B14D5E"/>
    <w:rsid w:val="00B15B56"/>
    <w:rsid w:val="00B20B96"/>
    <w:rsid w:val="00B20C61"/>
    <w:rsid w:val="00B214CE"/>
    <w:rsid w:val="00B21845"/>
    <w:rsid w:val="00B21D07"/>
    <w:rsid w:val="00B21F34"/>
    <w:rsid w:val="00B22D05"/>
    <w:rsid w:val="00B23466"/>
    <w:rsid w:val="00B2400A"/>
    <w:rsid w:val="00B2405B"/>
    <w:rsid w:val="00B24332"/>
    <w:rsid w:val="00B2477D"/>
    <w:rsid w:val="00B24C1C"/>
    <w:rsid w:val="00B25143"/>
    <w:rsid w:val="00B25A71"/>
    <w:rsid w:val="00B30B3D"/>
    <w:rsid w:val="00B3156B"/>
    <w:rsid w:val="00B32830"/>
    <w:rsid w:val="00B350D9"/>
    <w:rsid w:val="00B40C96"/>
    <w:rsid w:val="00B42968"/>
    <w:rsid w:val="00B42FAF"/>
    <w:rsid w:val="00B4474E"/>
    <w:rsid w:val="00B50FEA"/>
    <w:rsid w:val="00B51175"/>
    <w:rsid w:val="00B524DD"/>
    <w:rsid w:val="00B5397C"/>
    <w:rsid w:val="00B54A28"/>
    <w:rsid w:val="00B54FA9"/>
    <w:rsid w:val="00B5616E"/>
    <w:rsid w:val="00B57B0B"/>
    <w:rsid w:val="00B608C9"/>
    <w:rsid w:val="00B6174D"/>
    <w:rsid w:val="00B61E4C"/>
    <w:rsid w:val="00B621E4"/>
    <w:rsid w:val="00B63B37"/>
    <w:rsid w:val="00B63B6A"/>
    <w:rsid w:val="00B64308"/>
    <w:rsid w:val="00B65440"/>
    <w:rsid w:val="00B6659F"/>
    <w:rsid w:val="00B674C9"/>
    <w:rsid w:val="00B71F74"/>
    <w:rsid w:val="00B724B7"/>
    <w:rsid w:val="00B72632"/>
    <w:rsid w:val="00B73754"/>
    <w:rsid w:val="00B73C23"/>
    <w:rsid w:val="00B74FB7"/>
    <w:rsid w:val="00B760C9"/>
    <w:rsid w:val="00B771FF"/>
    <w:rsid w:val="00B80B4A"/>
    <w:rsid w:val="00B81389"/>
    <w:rsid w:val="00B8295E"/>
    <w:rsid w:val="00B82C45"/>
    <w:rsid w:val="00B911DA"/>
    <w:rsid w:val="00B913A5"/>
    <w:rsid w:val="00B92173"/>
    <w:rsid w:val="00B931DE"/>
    <w:rsid w:val="00B96776"/>
    <w:rsid w:val="00B97D11"/>
    <w:rsid w:val="00BA054F"/>
    <w:rsid w:val="00BA0CBC"/>
    <w:rsid w:val="00BA123B"/>
    <w:rsid w:val="00BA3721"/>
    <w:rsid w:val="00BA3780"/>
    <w:rsid w:val="00BA66AE"/>
    <w:rsid w:val="00BA7802"/>
    <w:rsid w:val="00BB059B"/>
    <w:rsid w:val="00BB1627"/>
    <w:rsid w:val="00BB2B33"/>
    <w:rsid w:val="00BB2CFC"/>
    <w:rsid w:val="00BB341B"/>
    <w:rsid w:val="00BB38CC"/>
    <w:rsid w:val="00BB3BE0"/>
    <w:rsid w:val="00BB4B21"/>
    <w:rsid w:val="00BB554F"/>
    <w:rsid w:val="00BB69B5"/>
    <w:rsid w:val="00BB734D"/>
    <w:rsid w:val="00BC0C9E"/>
    <w:rsid w:val="00BC2C2A"/>
    <w:rsid w:val="00BC3A7D"/>
    <w:rsid w:val="00BC5341"/>
    <w:rsid w:val="00BC7443"/>
    <w:rsid w:val="00BC787B"/>
    <w:rsid w:val="00BC7948"/>
    <w:rsid w:val="00BC970C"/>
    <w:rsid w:val="00BD032D"/>
    <w:rsid w:val="00BD1DE6"/>
    <w:rsid w:val="00BD2783"/>
    <w:rsid w:val="00BD3C26"/>
    <w:rsid w:val="00BD44A7"/>
    <w:rsid w:val="00BD5ADD"/>
    <w:rsid w:val="00BD5DE8"/>
    <w:rsid w:val="00BD6353"/>
    <w:rsid w:val="00BD7EA0"/>
    <w:rsid w:val="00BE049C"/>
    <w:rsid w:val="00BE1942"/>
    <w:rsid w:val="00BE1EA6"/>
    <w:rsid w:val="00BE1F02"/>
    <w:rsid w:val="00BE2210"/>
    <w:rsid w:val="00BE5AC7"/>
    <w:rsid w:val="00BE5CDB"/>
    <w:rsid w:val="00BF0C02"/>
    <w:rsid w:val="00BF0F30"/>
    <w:rsid w:val="00BF3E58"/>
    <w:rsid w:val="00BF4A8E"/>
    <w:rsid w:val="00BF73E4"/>
    <w:rsid w:val="00BF75D8"/>
    <w:rsid w:val="00C00D69"/>
    <w:rsid w:val="00C036A8"/>
    <w:rsid w:val="00C0513C"/>
    <w:rsid w:val="00C056D1"/>
    <w:rsid w:val="00C0587D"/>
    <w:rsid w:val="00C0628D"/>
    <w:rsid w:val="00C10E53"/>
    <w:rsid w:val="00C11A3C"/>
    <w:rsid w:val="00C165FF"/>
    <w:rsid w:val="00C17720"/>
    <w:rsid w:val="00C2101A"/>
    <w:rsid w:val="00C23C8C"/>
    <w:rsid w:val="00C276E0"/>
    <w:rsid w:val="00C27CE8"/>
    <w:rsid w:val="00C3042D"/>
    <w:rsid w:val="00C30526"/>
    <w:rsid w:val="00C33139"/>
    <w:rsid w:val="00C34A9E"/>
    <w:rsid w:val="00C35BC8"/>
    <w:rsid w:val="00C362B7"/>
    <w:rsid w:val="00C3669F"/>
    <w:rsid w:val="00C3693F"/>
    <w:rsid w:val="00C37A6A"/>
    <w:rsid w:val="00C41F08"/>
    <w:rsid w:val="00C436B8"/>
    <w:rsid w:val="00C43920"/>
    <w:rsid w:val="00C43E24"/>
    <w:rsid w:val="00C443D7"/>
    <w:rsid w:val="00C45CBB"/>
    <w:rsid w:val="00C4764B"/>
    <w:rsid w:val="00C479A5"/>
    <w:rsid w:val="00C50E79"/>
    <w:rsid w:val="00C519AC"/>
    <w:rsid w:val="00C54C89"/>
    <w:rsid w:val="00C60E85"/>
    <w:rsid w:val="00C620FD"/>
    <w:rsid w:val="00C639E4"/>
    <w:rsid w:val="00C67791"/>
    <w:rsid w:val="00C71571"/>
    <w:rsid w:val="00C71CED"/>
    <w:rsid w:val="00C731A4"/>
    <w:rsid w:val="00C739B2"/>
    <w:rsid w:val="00C7431C"/>
    <w:rsid w:val="00C77284"/>
    <w:rsid w:val="00C778C6"/>
    <w:rsid w:val="00C77D47"/>
    <w:rsid w:val="00C80C62"/>
    <w:rsid w:val="00C82A8A"/>
    <w:rsid w:val="00C82EC3"/>
    <w:rsid w:val="00C835C7"/>
    <w:rsid w:val="00C8634C"/>
    <w:rsid w:val="00C86F55"/>
    <w:rsid w:val="00C90F12"/>
    <w:rsid w:val="00C91A7C"/>
    <w:rsid w:val="00C93BD0"/>
    <w:rsid w:val="00C9432B"/>
    <w:rsid w:val="00C943BB"/>
    <w:rsid w:val="00C974B7"/>
    <w:rsid w:val="00C97629"/>
    <w:rsid w:val="00CA168B"/>
    <w:rsid w:val="00CA227C"/>
    <w:rsid w:val="00CA2CE9"/>
    <w:rsid w:val="00CA35D7"/>
    <w:rsid w:val="00CA39F6"/>
    <w:rsid w:val="00CA423A"/>
    <w:rsid w:val="00CA4694"/>
    <w:rsid w:val="00CA5AA8"/>
    <w:rsid w:val="00CA5ED9"/>
    <w:rsid w:val="00CA7910"/>
    <w:rsid w:val="00CB032B"/>
    <w:rsid w:val="00CB0554"/>
    <w:rsid w:val="00CB36EB"/>
    <w:rsid w:val="00CB4894"/>
    <w:rsid w:val="00CB61E8"/>
    <w:rsid w:val="00CC1136"/>
    <w:rsid w:val="00CC15E8"/>
    <w:rsid w:val="00CC1BC1"/>
    <w:rsid w:val="00CC5606"/>
    <w:rsid w:val="00CC5D84"/>
    <w:rsid w:val="00CD02A5"/>
    <w:rsid w:val="00CD0340"/>
    <w:rsid w:val="00CD2B68"/>
    <w:rsid w:val="00CD47DC"/>
    <w:rsid w:val="00CD6B47"/>
    <w:rsid w:val="00CD75B9"/>
    <w:rsid w:val="00CD7F0B"/>
    <w:rsid w:val="00CE0160"/>
    <w:rsid w:val="00CE151D"/>
    <w:rsid w:val="00CE1ADA"/>
    <w:rsid w:val="00CE28C3"/>
    <w:rsid w:val="00CE37C8"/>
    <w:rsid w:val="00CE37EF"/>
    <w:rsid w:val="00CE390E"/>
    <w:rsid w:val="00CE4306"/>
    <w:rsid w:val="00CE66AE"/>
    <w:rsid w:val="00CF1EA3"/>
    <w:rsid w:val="00CF2767"/>
    <w:rsid w:val="00CF49E9"/>
    <w:rsid w:val="00CF4EEB"/>
    <w:rsid w:val="00CF5A2D"/>
    <w:rsid w:val="00CF6308"/>
    <w:rsid w:val="00D00C6E"/>
    <w:rsid w:val="00D02438"/>
    <w:rsid w:val="00D044DC"/>
    <w:rsid w:val="00D05A02"/>
    <w:rsid w:val="00D0677F"/>
    <w:rsid w:val="00D0725D"/>
    <w:rsid w:val="00D076CD"/>
    <w:rsid w:val="00D10E1F"/>
    <w:rsid w:val="00D11F38"/>
    <w:rsid w:val="00D11F49"/>
    <w:rsid w:val="00D12040"/>
    <w:rsid w:val="00D12093"/>
    <w:rsid w:val="00D12703"/>
    <w:rsid w:val="00D14705"/>
    <w:rsid w:val="00D16006"/>
    <w:rsid w:val="00D16E53"/>
    <w:rsid w:val="00D17467"/>
    <w:rsid w:val="00D20000"/>
    <w:rsid w:val="00D2150F"/>
    <w:rsid w:val="00D215DF"/>
    <w:rsid w:val="00D2177A"/>
    <w:rsid w:val="00D21C02"/>
    <w:rsid w:val="00D3119C"/>
    <w:rsid w:val="00D325F5"/>
    <w:rsid w:val="00D33077"/>
    <w:rsid w:val="00D33E3B"/>
    <w:rsid w:val="00D3713B"/>
    <w:rsid w:val="00D405A6"/>
    <w:rsid w:val="00D40B85"/>
    <w:rsid w:val="00D40F6A"/>
    <w:rsid w:val="00D444B3"/>
    <w:rsid w:val="00D46400"/>
    <w:rsid w:val="00D464B5"/>
    <w:rsid w:val="00D464F2"/>
    <w:rsid w:val="00D47AF8"/>
    <w:rsid w:val="00D50FAA"/>
    <w:rsid w:val="00D523C4"/>
    <w:rsid w:val="00D535AC"/>
    <w:rsid w:val="00D54DF5"/>
    <w:rsid w:val="00D54F24"/>
    <w:rsid w:val="00D555C7"/>
    <w:rsid w:val="00D5620D"/>
    <w:rsid w:val="00D566F4"/>
    <w:rsid w:val="00D60855"/>
    <w:rsid w:val="00D61DB1"/>
    <w:rsid w:val="00D621F5"/>
    <w:rsid w:val="00D6296B"/>
    <w:rsid w:val="00D66EF1"/>
    <w:rsid w:val="00D7311B"/>
    <w:rsid w:val="00D750E3"/>
    <w:rsid w:val="00D81F86"/>
    <w:rsid w:val="00D82688"/>
    <w:rsid w:val="00D83A5B"/>
    <w:rsid w:val="00D84451"/>
    <w:rsid w:val="00D865FC"/>
    <w:rsid w:val="00D96720"/>
    <w:rsid w:val="00D97468"/>
    <w:rsid w:val="00D9785E"/>
    <w:rsid w:val="00DA137E"/>
    <w:rsid w:val="00DA1533"/>
    <w:rsid w:val="00DA2C99"/>
    <w:rsid w:val="00DA46F0"/>
    <w:rsid w:val="00DA5C53"/>
    <w:rsid w:val="00DA6576"/>
    <w:rsid w:val="00DB644E"/>
    <w:rsid w:val="00DC075C"/>
    <w:rsid w:val="00DC0CAD"/>
    <w:rsid w:val="00DC0D69"/>
    <w:rsid w:val="00DC16C3"/>
    <w:rsid w:val="00DC1B7B"/>
    <w:rsid w:val="00DC6FBB"/>
    <w:rsid w:val="00DD167B"/>
    <w:rsid w:val="00DD288E"/>
    <w:rsid w:val="00DD290A"/>
    <w:rsid w:val="00DD3940"/>
    <w:rsid w:val="00DD43A5"/>
    <w:rsid w:val="00DD5029"/>
    <w:rsid w:val="00DD5D38"/>
    <w:rsid w:val="00DE05FE"/>
    <w:rsid w:val="00DE2324"/>
    <w:rsid w:val="00DE33BC"/>
    <w:rsid w:val="00DE3608"/>
    <w:rsid w:val="00DE5EE8"/>
    <w:rsid w:val="00DE74EC"/>
    <w:rsid w:val="00DE7A54"/>
    <w:rsid w:val="00DF0B01"/>
    <w:rsid w:val="00DF1D05"/>
    <w:rsid w:val="00DF27D3"/>
    <w:rsid w:val="00DF5389"/>
    <w:rsid w:val="00DF56B6"/>
    <w:rsid w:val="00DF5A46"/>
    <w:rsid w:val="00DF5CE4"/>
    <w:rsid w:val="00DF603B"/>
    <w:rsid w:val="00DF67DD"/>
    <w:rsid w:val="00DF75C3"/>
    <w:rsid w:val="00E007F2"/>
    <w:rsid w:val="00E01857"/>
    <w:rsid w:val="00E07334"/>
    <w:rsid w:val="00E10B5B"/>
    <w:rsid w:val="00E10C78"/>
    <w:rsid w:val="00E11105"/>
    <w:rsid w:val="00E12947"/>
    <w:rsid w:val="00E15E75"/>
    <w:rsid w:val="00E16720"/>
    <w:rsid w:val="00E16939"/>
    <w:rsid w:val="00E17189"/>
    <w:rsid w:val="00E1766A"/>
    <w:rsid w:val="00E17854"/>
    <w:rsid w:val="00E2453A"/>
    <w:rsid w:val="00E2504D"/>
    <w:rsid w:val="00E25A02"/>
    <w:rsid w:val="00E267E6"/>
    <w:rsid w:val="00E26E53"/>
    <w:rsid w:val="00E32F5D"/>
    <w:rsid w:val="00E33C72"/>
    <w:rsid w:val="00E33F0E"/>
    <w:rsid w:val="00E34501"/>
    <w:rsid w:val="00E3485C"/>
    <w:rsid w:val="00E35B8F"/>
    <w:rsid w:val="00E35BC6"/>
    <w:rsid w:val="00E40078"/>
    <w:rsid w:val="00E40E7C"/>
    <w:rsid w:val="00E41181"/>
    <w:rsid w:val="00E425CD"/>
    <w:rsid w:val="00E442EE"/>
    <w:rsid w:val="00E4461B"/>
    <w:rsid w:val="00E4464E"/>
    <w:rsid w:val="00E4520C"/>
    <w:rsid w:val="00E502E9"/>
    <w:rsid w:val="00E50A1E"/>
    <w:rsid w:val="00E51A3E"/>
    <w:rsid w:val="00E5698F"/>
    <w:rsid w:val="00E62B01"/>
    <w:rsid w:val="00E62DE3"/>
    <w:rsid w:val="00E636FD"/>
    <w:rsid w:val="00E64AE7"/>
    <w:rsid w:val="00E64B67"/>
    <w:rsid w:val="00E652E9"/>
    <w:rsid w:val="00E6552F"/>
    <w:rsid w:val="00E669CD"/>
    <w:rsid w:val="00E70A2C"/>
    <w:rsid w:val="00E76A38"/>
    <w:rsid w:val="00E81A92"/>
    <w:rsid w:val="00E83A1D"/>
    <w:rsid w:val="00E847A7"/>
    <w:rsid w:val="00E85FF2"/>
    <w:rsid w:val="00E86CBA"/>
    <w:rsid w:val="00E90E39"/>
    <w:rsid w:val="00E91A05"/>
    <w:rsid w:val="00E932EC"/>
    <w:rsid w:val="00E93C25"/>
    <w:rsid w:val="00EA077E"/>
    <w:rsid w:val="00EA2FB4"/>
    <w:rsid w:val="00EA3011"/>
    <w:rsid w:val="00EA3417"/>
    <w:rsid w:val="00EA343C"/>
    <w:rsid w:val="00EA5238"/>
    <w:rsid w:val="00EA5D8D"/>
    <w:rsid w:val="00EB0B77"/>
    <w:rsid w:val="00EB0C12"/>
    <w:rsid w:val="00EB1557"/>
    <w:rsid w:val="00EB1566"/>
    <w:rsid w:val="00EB207B"/>
    <w:rsid w:val="00EB33B5"/>
    <w:rsid w:val="00EB3BE7"/>
    <w:rsid w:val="00EB4918"/>
    <w:rsid w:val="00EB5318"/>
    <w:rsid w:val="00EB5D73"/>
    <w:rsid w:val="00EC2A56"/>
    <w:rsid w:val="00EC34C4"/>
    <w:rsid w:val="00EC7C4A"/>
    <w:rsid w:val="00ED1956"/>
    <w:rsid w:val="00ED2F5B"/>
    <w:rsid w:val="00ED3522"/>
    <w:rsid w:val="00ED6BF3"/>
    <w:rsid w:val="00EE2028"/>
    <w:rsid w:val="00EE41C2"/>
    <w:rsid w:val="00EE570F"/>
    <w:rsid w:val="00EE5B42"/>
    <w:rsid w:val="00EE5F89"/>
    <w:rsid w:val="00EF0C84"/>
    <w:rsid w:val="00EF1B2D"/>
    <w:rsid w:val="00EF5D84"/>
    <w:rsid w:val="00F0196A"/>
    <w:rsid w:val="00F0245D"/>
    <w:rsid w:val="00F06878"/>
    <w:rsid w:val="00F07B2D"/>
    <w:rsid w:val="00F11F50"/>
    <w:rsid w:val="00F12617"/>
    <w:rsid w:val="00F128B1"/>
    <w:rsid w:val="00F134CA"/>
    <w:rsid w:val="00F1473F"/>
    <w:rsid w:val="00F149B6"/>
    <w:rsid w:val="00F14D33"/>
    <w:rsid w:val="00F152BF"/>
    <w:rsid w:val="00F15F5F"/>
    <w:rsid w:val="00F172EE"/>
    <w:rsid w:val="00F21265"/>
    <w:rsid w:val="00F21A2D"/>
    <w:rsid w:val="00F22FC2"/>
    <w:rsid w:val="00F23F8C"/>
    <w:rsid w:val="00F248B6"/>
    <w:rsid w:val="00F25107"/>
    <w:rsid w:val="00F27A66"/>
    <w:rsid w:val="00F27CAC"/>
    <w:rsid w:val="00F30549"/>
    <w:rsid w:val="00F315CF"/>
    <w:rsid w:val="00F31637"/>
    <w:rsid w:val="00F33B9F"/>
    <w:rsid w:val="00F34F10"/>
    <w:rsid w:val="00F37B1E"/>
    <w:rsid w:val="00F405AF"/>
    <w:rsid w:val="00F41932"/>
    <w:rsid w:val="00F44C22"/>
    <w:rsid w:val="00F45A83"/>
    <w:rsid w:val="00F471F5"/>
    <w:rsid w:val="00F4789A"/>
    <w:rsid w:val="00F51C00"/>
    <w:rsid w:val="00F51FDE"/>
    <w:rsid w:val="00F52B65"/>
    <w:rsid w:val="00F53162"/>
    <w:rsid w:val="00F549C8"/>
    <w:rsid w:val="00F558B3"/>
    <w:rsid w:val="00F561A3"/>
    <w:rsid w:val="00F56A26"/>
    <w:rsid w:val="00F57632"/>
    <w:rsid w:val="00F57854"/>
    <w:rsid w:val="00F578D4"/>
    <w:rsid w:val="00F60895"/>
    <w:rsid w:val="00F61364"/>
    <w:rsid w:val="00F614C4"/>
    <w:rsid w:val="00F61E2F"/>
    <w:rsid w:val="00F66347"/>
    <w:rsid w:val="00F71790"/>
    <w:rsid w:val="00F7256C"/>
    <w:rsid w:val="00F7290E"/>
    <w:rsid w:val="00F734FA"/>
    <w:rsid w:val="00F746A3"/>
    <w:rsid w:val="00F7519D"/>
    <w:rsid w:val="00F75A59"/>
    <w:rsid w:val="00F75E71"/>
    <w:rsid w:val="00F7614A"/>
    <w:rsid w:val="00F7650A"/>
    <w:rsid w:val="00F812C9"/>
    <w:rsid w:val="00F8539A"/>
    <w:rsid w:val="00F92868"/>
    <w:rsid w:val="00F95B9D"/>
    <w:rsid w:val="00F95DDF"/>
    <w:rsid w:val="00F96076"/>
    <w:rsid w:val="00F96108"/>
    <w:rsid w:val="00F97D4A"/>
    <w:rsid w:val="00FA19A3"/>
    <w:rsid w:val="00FA1A15"/>
    <w:rsid w:val="00FA2FCE"/>
    <w:rsid w:val="00FA300A"/>
    <w:rsid w:val="00FA4AE6"/>
    <w:rsid w:val="00FA5466"/>
    <w:rsid w:val="00FA70A7"/>
    <w:rsid w:val="00FB051B"/>
    <w:rsid w:val="00FB0918"/>
    <w:rsid w:val="00FB35DE"/>
    <w:rsid w:val="00FB4EB1"/>
    <w:rsid w:val="00FB5337"/>
    <w:rsid w:val="00FB5E7E"/>
    <w:rsid w:val="00FB72EF"/>
    <w:rsid w:val="00FB7AEB"/>
    <w:rsid w:val="00FC0E61"/>
    <w:rsid w:val="00FC12FC"/>
    <w:rsid w:val="00FC2874"/>
    <w:rsid w:val="00FC2AAE"/>
    <w:rsid w:val="00FC2E34"/>
    <w:rsid w:val="00FC4DFF"/>
    <w:rsid w:val="00FC4F1F"/>
    <w:rsid w:val="00FC5122"/>
    <w:rsid w:val="00FD069A"/>
    <w:rsid w:val="00FD06DF"/>
    <w:rsid w:val="00FD080C"/>
    <w:rsid w:val="00FD0B4D"/>
    <w:rsid w:val="00FD7206"/>
    <w:rsid w:val="00FD7EB8"/>
    <w:rsid w:val="00FE154D"/>
    <w:rsid w:val="00FE19D9"/>
    <w:rsid w:val="00FE22A4"/>
    <w:rsid w:val="00FE253C"/>
    <w:rsid w:val="00FE2EF5"/>
    <w:rsid w:val="00FE316C"/>
    <w:rsid w:val="00FE3232"/>
    <w:rsid w:val="00FE44B1"/>
    <w:rsid w:val="00FE60C5"/>
    <w:rsid w:val="00FE68A1"/>
    <w:rsid w:val="00FE7197"/>
    <w:rsid w:val="00FF01B5"/>
    <w:rsid w:val="00FF0A4D"/>
    <w:rsid w:val="00FF293B"/>
    <w:rsid w:val="00FF2984"/>
    <w:rsid w:val="00FF3E2D"/>
    <w:rsid w:val="00FF4459"/>
    <w:rsid w:val="00FF4FAA"/>
    <w:rsid w:val="00FF6178"/>
    <w:rsid w:val="00FF6A6C"/>
    <w:rsid w:val="04EC6001"/>
    <w:rsid w:val="0677F1D3"/>
    <w:rsid w:val="07071066"/>
    <w:rsid w:val="0721870F"/>
    <w:rsid w:val="0ED0BF7F"/>
    <w:rsid w:val="1B5BFE5F"/>
    <w:rsid w:val="2099B8FE"/>
    <w:rsid w:val="2258E49B"/>
    <w:rsid w:val="232C6DD0"/>
    <w:rsid w:val="29C59CBB"/>
    <w:rsid w:val="2CC01374"/>
    <w:rsid w:val="2D73A0C3"/>
    <w:rsid w:val="30E2A167"/>
    <w:rsid w:val="3181D362"/>
    <w:rsid w:val="323B0946"/>
    <w:rsid w:val="3822D723"/>
    <w:rsid w:val="396F7B31"/>
    <w:rsid w:val="3C226C43"/>
    <w:rsid w:val="3C4084C6"/>
    <w:rsid w:val="3D3B6D3E"/>
    <w:rsid w:val="40AAAD2D"/>
    <w:rsid w:val="45E5AB55"/>
    <w:rsid w:val="46117D5F"/>
    <w:rsid w:val="4AB41EDF"/>
    <w:rsid w:val="4E6857DD"/>
    <w:rsid w:val="57A98448"/>
    <w:rsid w:val="5A424604"/>
    <w:rsid w:val="5B01CFE7"/>
    <w:rsid w:val="64C0B5DE"/>
    <w:rsid w:val="660AE57F"/>
    <w:rsid w:val="677D3D3E"/>
    <w:rsid w:val="67C8B2F5"/>
    <w:rsid w:val="6D1EE429"/>
    <w:rsid w:val="74BCEFE4"/>
    <w:rsid w:val="7506519D"/>
    <w:rsid w:val="78202158"/>
    <w:rsid w:val="7822B11B"/>
    <w:rsid w:val="79808FF9"/>
    <w:rsid w:val="7AAD0F9F"/>
    <w:rsid w:val="7B0B55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15:docId w15:val="{8D8C2B9D-B185-4139-B7B7-018D975F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5"/>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5"/>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3"/>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924B1"/>
    <w:pPr>
      <w:spacing w:after="0"/>
      <w:ind w:left="284" w:hanging="284"/>
    </w:pPr>
    <w:rPr>
      <w:sz w:val="20"/>
    </w:rPr>
  </w:style>
  <w:style w:type="character" w:customStyle="1" w:styleId="FootnoteTextChar">
    <w:name w:val="Footnote Text Char"/>
    <w:basedOn w:val="DefaultParagraphFont"/>
    <w:link w:val="FootnoteText"/>
    <w:uiPriority w:val="99"/>
    <w:rsid w:val="008924B1"/>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8F0B15"/>
    <w:pPr>
      <w:ind w:left="720"/>
      <w:contextualSpacing/>
    </w:pPr>
  </w:style>
  <w:style w:type="character" w:customStyle="1" w:styleId="ListParagraphChar">
    <w:name w:val="List Paragraph Char"/>
    <w:aliases w:val="List Bullet Cab Char,CAB - List Bullet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3715C7"/>
    <w:pPr>
      <w:numPr>
        <w:numId w:val="7"/>
      </w:numPr>
      <w:spacing w:before="0" w:after="220"/>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3715C7"/>
    <w:pPr>
      <w:numPr>
        <w:ilvl w:val="1"/>
        <w:numId w:val="7"/>
      </w:numPr>
      <w:spacing w:before="0" w:after="220"/>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3715C7"/>
    <w:pPr>
      <w:numPr>
        <w:ilvl w:val="2"/>
        <w:numId w:val="7"/>
      </w:numPr>
      <w:spacing w:before="0" w:after="220"/>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3715C7"/>
    <w:pPr>
      <w:spacing w:before="0" w:after="22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semiHidden/>
    <w:rsid w:val="003715C7"/>
    <w:pPr>
      <w:spacing w:before="0" w:after="22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3715C7"/>
    <w:pPr>
      <w:spacing w:before="0" w:after="22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3715C7"/>
    <w:pPr>
      <w:spacing w:before="0" w:after="220" w:line="260" w:lineRule="exact"/>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3715C7"/>
    <w:pPr>
      <w:spacing w:before="0" w:after="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color w:val="003E74"/>
      <w:kern w:val="0"/>
      <w:szCs w:val="22"/>
    </w:rPr>
  </w:style>
  <w:style w:type="paragraph" w:customStyle="1" w:styleId="TableTextBullet0">
    <w:name w:val="Table Text Bullet"/>
    <w:basedOn w:val="Normal"/>
    <w:rsid w:val="003715C7"/>
    <w:pPr>
      <w:numPr>
        <w:numId w:val="9"/>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3715C7"/>
    <w:pPr>
      <w:spacing w:before="0" w:after="22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0"/>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3715C7"/>
    <w:pPr>
      <w:spacing w:before="0" w:after="100" w:line="276" w:lineRule="auto"/>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0B544F"/>
    <w:pPr>
      <w:tabs>
        <w:tab w:val="right" w:leader="dot" w:pos="9346"/>
      </w:tabs>
      <w:spacing w:before="0" w:after="100" w:line="276" w:lineRule="auto"/>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3715C7"/>
    <w:pPr>
      <w:spacing w:before="0"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3715C7"/>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715C7"/>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715C7"/>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715C7"/>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715C7"/>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715C7"/>
    <w:pPr>
      <w:spacing w:before="0" w:after="100" w:line="276" w:lineRule="auto"/>
      <w:ind w:left="176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3715C7"/>
    <w:pPr>
      <w:spacing w:before="0" w:after="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904C6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904C61"/>
    <w:pPr>
      <w:spacing w:before="0" w:after="0"/>
      <w:ind w:left="240" w:hanging="240"/>
    </w:pPr>
    <w:rPr>
      <w:rFonts w:ascii="Calibri" w:hAnsi="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o.gov.au/Tax-professionals/Prepare-and-lodge/Tax-agent-lodgment-program/Tax-returns-by-client-type/Substituted-accounting-periods/" TargetMode="External"/><Relationship Id="rId18" Type="http://schemas.openxmlformats.org/officeDocument/2006/relationships/hyperlink" Target="https://www.auasb.gov.au/admin/file/content102/c3/Jun14_Framework_for_Assurance_Engagement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foreigninvestment.gov.au/compliance/obligations" TargetMode="External"/><Relationship Id="rId17" Type="http://schemas.openxmlformats.org/officeDocument/2006/relationships/hyperlink" Target="https://www.auasb.gov.au/admin/file/content102/c3/Jun14_Framework_for_Assurance_Engagement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asb.gov.au/admin/file/content102/c3/Framework_AssuranceEngagements_May20_FINA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uasb.gov.au/admin/file/content102/c3/Jun14_Framework_for_Assurance_Engagements.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foreigninvestment.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asb.gov.a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foreigninvest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Factsheet.dotx"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89085969B4D4DAFCBAA3A4949B8E3" ma:contentTypeVersion="28" ma:contentTypeDescription="Create a new document." ma:contentTypeScope="" ma:versionID="c31e4bd161bddc1903041cbb13221ebf">
  <xsd:schema xmlns:xsd="http://www.w3.org/2001/XMLSchema" xmlns:xs="http://www.w3.org/2001/XMLSchema" xmlns:p="http://schemas.microsoft.com/office/2006/metadata/properties" xmlns:ns2="8c1dcaad-f81b-4b7a-aa4b-c3e91d379893" xmlns:ns3="fe39d773-a83d-4623-ae74-f25711a76616" xmlns:ns4="70d30bfb-121f-4210-bfbb-a65e9b65e655" targetNamespace="http://schemas.microsoft.com/office/2006/metadata/properties" ma:root="true" ma:fieldsID="0da79f6d49821bc6c41972f23801b20f" ns2:_="" ns3:_="" ns4:_="">
    <xsd:import namespace="8c1dcaad-f81b-4b7a-aa4b-c3e91d379893"/>
    <xsd:import namespace="fe39d773-a83d-4623-ae74-f25711a76616"/>
    <xsd:import namespace="70d30bfb-121f-4210-bfbb-a65e9b65e655"/>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ActionOfficer" minOccurs="0"/>
                <xsd:element ref="ns4:MediaServiceMetadata" minOccurs="0"/>
                <xsd:element ref="ns4:MediaServiceFastMetadata" minOccurs="0"/>
                <xsd:element ref="ns4:MediaServiceObjectDetectorVersions" minOccurs="0"/>
                <xsd:element ref="ns4:PDMSreference" minOccurs="0"/>
                <xsd:element ref="ns4:lcf76f155ced4ddcb4097134ff3c332f"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dcaad-f81b-4b7a-aa4b-c3e91d3798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68cba0-51b5-458c-af59-c25f5ab84d99}" ma:internalName="TaxCatchAll" ma:showField="CatchAllData"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f68cba0-51b5-458c-af59-c25f5ab84d99}" ma:internalName="TaxCatchAllLabel" ma:readOnly="true" ma:showField="CatchAllDataLabel"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ActionOfficer" ma:index="23" nillable="true" ma:displayName="Action officer" ma:list="UserInfo" ma:SharePointGroup="0" ma:internalName="Action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Foreign Investment|53db070f-8cd1-47b7-8afc-c2c4e58ad81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nillable="true" ma:taxonomy="true" ma:internalName="e4fe7dcdd1c0411bbf19a4de3665191f" ma:taxonomyFieldName="eActivity" ma:displayName="Activity" ma:readOnly="false" ma:default="" ma:fieldId="{e4fe7dcd-d1c0-411b-bf19-a4de3665191f}" ma:sspId="218240cd-c75f-40bd-87f4-262ac964b25b" ma:termSetId="9d360e00-8795-4b1f-9051-5a28caab394e" ma:anchorId="00000000-0000-0000-0000-000000000000" ma:open="false" ma:isKeyword="false">
      <xsd:complexType>
        <xsd:sequence>
          <xsd:element ref="pc:Terms" minOccurs="0" maxOccurs="1"/>
        </xsd:sequence>
      </xsd:complexType>
    </xsd:element>
    <xsd:element name="gfba5f33532c49208d2320ce38cc3c2b" ma:index="17" nillable="true" ma:taxonomy="true" ma:internalName="gfba5f33532c49208d2320ce38cc3c2b" ma:taxonomyFieldName="eTopic" ma:displayName="Topic" ma:readOnly="false" ma:default="" ma:fieldId="{0fba5f33-532c-4920-8d23-20ce38cc3c2b}" ma:taxonomyMulti="true" ma:sspId="218240cd-c75f-40bd-87f4-262ac964b25b" ma:termSetId="4f32f286-e82c-4f01-8c39-95e7139da70e" ma:anchorId="00000000-0000-0000-0000-000000000000" ma:open="false" ma:isKeyword="false">
      <xsd:complexType>
        <xsd:sequence>
          <xsd:element ref="pc:Terms" minOccurs="0" maxOccurs="1"/>
        </xsd:sequence>
      </xsd:complexType>
    </xsd:element>
    <xsd:element name="kfc39f3e4e2747ae990d3c8bb74a5a64" ma:index="19" nillable="true" ma:taxonomy="true" ma:internalName="kfc39f3e4e2747ae990d3c8bb74a5a64" ma:taxonomyFieldName="eDocumentType" ma:displayName="Document Type" ma:readOnly="false" ma:default="" ma:fieldId="{4fc39f3e-4e27-47ae-990d-3c8bb74a5a64}" ma:sspId="218240cd-c75f-40bd-87f4-262ac964b25b" ma:termSetId="49c50c34-ad26-42bd-862b-5681718eab20"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d30bfb-121f-4210-bfbb-a65e9b65e655"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DMSreference" ma:index="27" nillable="true" ma:displayName="PDMS Reference" ma:format="Dropdown" ma:internalName="PDMSreference">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3c21fa22-a311-4c7a-a8b0-1d9dee90bb01</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Word document</TermName>
          <TermId xmlns="http://schemas.microsoft.com/office/infopath/2007/PartnerControls">3d904a7b-57de-4c52-927b-6e13e4fb7fdf</TermId>
        </TermInfo>
      </Terms>
    </kfc39f3e4e2747ae990d3c8bb74a5a64>
    <ActionOfficer xmlns="8c1dcaad-f81b-4b7a-aa4b-c3e91d379893">
      <UserInfo>
        <DisplayName/>
        <AccountId xsi:nil="true"/>
        <AccountType/>
      </UserInfo>
    </ActionOfficer>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Foreign Investment</TermName>
          <TermId xmlns="http://schemas.microsoft.com/office/infopath/2007/PartnerControls">53db070f-8cd1-47b7-8afc-c2c4e58ad81f</TermId>
        </TermInfo>
      </Terms>
    </a48f371a4a874164b16a8c4aab488f5c>
    <TaxCatchAll xmlns="8c1dcaad-f81b-4b7a-aa4b-c3e91d379893">
      <Value>153</Value>
      <Value>215</Value>
      <Value>73</Value>
      <Value>201</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Guidance notes</TermName>
          <TermId xmlns="http://schemas.microsoft.com/office/infopath/2007/PartnerControls">6852bcdd-5eaa-456e-adf6-dd7cbc5291c3</TermId>
        </TermInfo>
        <TermInfo xmlns="http://schemas.microsoft.com/office/infopath/2007/PartnerControls">
          <TermName xmlns="http://schemas.microsoft.com/office/infopath/2007/PartnerControls">Compliance</TermName>
          <TermId xmlns="http://schemas.microsoft.com/office/infopath/2007/PartnerControls">5eeb34b3-e79e-45a0-b8b6-0a1cc3c8dff6</TermId>
        </TermInfo>
      </Terms>
    </gfba5f33532c49208d2320ce38cc3c2b>
    <_dlc_DocId xmlns="fe39d773-a83d-4623-ae74-f25711a76616">EKDNH6RFWKNW-1173887499-605</_dlc_DocId>
    <_dlc_DocIdUrl xmlns="fe39d773-a83d-4623-ae74-f25711a76616">
      <Url>https://austreasury.sharepoint.com/sites/fi-policy-function/_layouts/15/DocIdRedir.aspx?ID=EKDNH6RFWKNW-1173887499-605</Url>
      <Description>EKDNH6RFWKNW-1173887499-605</Description>
    </_dlc_DocIdUrl>
    <PDMSreference xmlns="70d30bfb-121f-4210-bfbb-a65e9b65e655" xsi:nil="true"/>
    <lcf76f155ced4ddcb4097134ff3c332f xmlns="70d30bfb-121f-4210-bfbb-a65e9b65e6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D79CAF-1BBE-4179-A183-6298AA0F529A}">
  <ds:schemaRefs>
    <ds:schemaRef ds:uri="http://schemas.microsoft.com/sharepoint/v3/contenttype/forms"/>
  </ds:schemaRefs>
</ds:datastoreItem>
</file>

<file path=customXml/itemProps2.xml><?xml version="1.0" encoding="utf-8"?>
<ds:datastoreItem xmlns:ds="http://schemas.openxmlformats.org/officeDocument/2006/customXml" ds:itemID="{A6CCF510-88B4-4E4B-8A43-F1EC69176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dcaad-f81b-4b7a-aa4b-c3e91d379893"/>
    <ds:schemaRef ds:uri="fe39d773-a83d-4623-ae74-f25711a76616"/>
    <ds:schemaRef ds:uri="70d30bfb-121f-4210-bfbb-a65e9b65e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9EF1C-25C2-48EA-9C02-F5D0102C6A46}">
  <ds:schemaRefs>
    <ds:schemaRef ds:uri="http://purl.org/dc/terms/"/>
    <ds:schemaRef ds:uri="fe39d773-a83d-4623-ae74-f25711a76616"/>
    <ds:schemaRef ds:uri="http://purl.org/dc/dcmitype/"/>
    <ds:schemaRef ds:uri="http://schemas.microsoft.com/office/2006/documentManagement/types"/>
    <ds:schemaRef ds:uri="http://purl.org/dc/elements/1.1/"/>
    <ds:schemaRef ds:uri="70d30bfb-121f-4210-bfbb-a65e9b65e655"/>
    <ds:schemaRef ds:uri="8c1dcaad-f81b-4b7a-aa4b-c3e91d379893"/>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customXml/itemProps5.xml><?xml version="1.0" encoding="utf-8"?>
<ds:datastoreItem xmlns:ds="http://schemas.openxmlformats.org/officeDocument/2006/customXml" ds:itemID="{C48A9C5E-0B6C-46D8-ADA1-C9D5800344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TSY Factsheet.dotx</Template>
  <TotalTime>12</TotalTime>
  <Pages>11</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Guidance Note 13: Compliance Reporting</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13: Compliance Reporting</dc:title>
  <dc:subject/>
  <dc:creator>Treasury</dc:creator>
  <cp:keywords/>
  <dc:description/>
  <cp:lastModifiedBy>Kuek, Amanda</cp:lastModifiedBy>
  <cp:revision>3</cp:revision>
  <cp:lastPrinted>2025-02-20T02:32:00Z</cp:lastPrinted>
  <dcterms:created xsi:type="dcterms:W3CDTF">2025-02-20T03:22:00Z</dcterms:created>
  <dcterms:modified xsi:type="dcterms:W3CDTF">2025-02-20T03:56:00Z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2025-01-10T02:28:20Z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afac92e4-d11a-4d6e-9e94-12e9e94da250</vt:lpwstr>
  </property>
  <property fmtid="{D5CDD505-2E9C-101B-9397-08002B2CF9AE}" pid="8" name="MSIP_Label_4f932d64-9ab1-4d9b-81d2-a3a8b82dd47d_ContentBits">
    <vt:lpwstr>0</vt:lpwstr>
  </property>
</Properties>
</file>