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0C4E" w14:textId="5F2994C6" w:rsidR="00365023" w:rsidRPr="00385F08" w:rsidRDefault="00365023" w:rsidP="0095047B">
      <w:pPr>
        <w:pStyle w:val="Heading2"/>
        <w:spacing w:before="1440"/>
        <w:jc w:val="both"/>
      </w:pPr>
      <w:r w:rsidRPr="00385F08">
        <w:t>Monetary thresholds</w:t>
      </w:r>
      <w:r w:rsidR="00B84807">
        <w:t xml:space="preserve"> applicable from </w:t>
      </w:r>
      <w:r w:rsidR="00C93A21">
        <w:t>1 January 202</w:t>
      </w:r>
      <w:r w:rsidR="00AD5CCE">
        <w:t>5</w:t>
      </w:r>
    </w:p>
    <w:p w14:paraId="628BFA8F" w14:textId="650B4BE2" w:rsidR="00562A5B" w:rsidRPr="00181FDC" w:rsidRDefault="00365023" w:rsidP="00221D84">
      <w:pPr>
        <w:pStyle w:val="Heading3"/>
        <w:rPr>
          <w:rFonts w:ascii="Calibri" w:hAnsi="Calibri" w:cs="Calibri"/>
          <w:b w:val="0"/>
          <w:bCs/>
          <w:color w:val="auto"/>
          <w:sz w:val="24"/>
          <w:szCs w:val="24"/>
        </w:rPr>
      </w:pPr>
      <w:bookmarkStart w:id="0" w:name="_Australian_Urban_Land"/>
      <w:bookmarkStart w:id="1" w:name="_Agribusiness"/>
      <w:bookmarkStart w:id="2" w:name="_Direct_Investment"/>
      <w:bookmarkStart w:id="3" w:name="_Chilean_Investor"/>
      <w:bookmarkEnd w:id="0"/>
      <w:bookmarkEnd w:id="1"/>
      <w:bookmarkEnd w:id="2"/>
      <w:bookmarkEnd w:id="3"/>
      <w:r w:rsidRPr="00181FDC">
        <w:rPr>
          <w:rFonts w:ascii="Calibri" w:hAnsi="Calibri" w:cs="Calibri"/>
          <w:b w:val="0"/>
          <w:bCs/>
          <w:color w:val="auto"/>
          <w:sz w:val="24"/>
          <w:szCs w:val="24"/>
        </w:rPr>
        <w:t xml:space="preserve">Monetary thresholds are indexed annually on 1 January, except for the more than $15 million (cumulative) </w:t>
      </w:r>
      <w:proofErr w:type="gramStart"/>
      <w:r w:rsidRPr="00181FDC">
        <w:rPr>
          <w:rFonts w:ascii="Calibri" w:hAnsi="Calibri" w:cs="Calibri"/>
          <w:b w:val="0"/>
          <w:bCs/>
          <w:color w:val="auto"/>
          <w:sz w:val="24"/>
          <w:szCs w:val="24"/>
        </w:rPr>
        <w:t>threshold</w:t>
      </w:r>
      <w:proofErr w:type="gramEnd"/>
      <w:r w:rsidRPr="00181FDC">
        <w:rPr>
          <w:rFonts w:ascii="Calibri" w:hAnsi="Calibri" w:cs="Calibri"/>
          <w:b w:val="0"/>
          <w:bCs/>
          <w:color w:val="auto"/>
          <w:sz w:val="24"/>
          <w:szCs w:val="24"/>
        </w:rPr>
        <w:t xml:space="preserve"> for agricultural land and the more than $50 million threshold for agricultural land for Thailand investors, which are not indexed.</w:t>
      </w:r>
    </w:p>
    <w:p w14:paraId="3CC10428" w14:textId="77777777" w:rsidR="00365023" w:rsidRPr="00385F08" w:rsidRDefault="00365023" w:rsidP="00221D84">
      <w:pPr>
        <w:pStyle w:val="Heading3"/>
      </w:pPr>
      <w:r w:rsidRPr="00385F08">
        <w:t xml:space="preserve">LAND </w:t>
      </w:r>
      <w:r w:rsidR="008B0D87">
        <w:t>INVESTMENTS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4"/>
        <w:gridCol w:w="2713"/>
        <w:gridCol w:w="3721"/>
      </w:tblGrid>
      <w:tr w:rsidR="00365023" w:rsidRPr="00385F08" w14:paraId="5D5B5DF4" w14:textId="77777777" w:rsidTr="00D118F7">
        <w:trPr>
          <w:tblHeader/>
        </w:trPr>
        <w:tc>
          <w:tcPr>
            <w:tcW w:w="1210" w:type="pct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93956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Investor</w:t>
            </w:r>
          </w:p>
        </w:tc>
        <w:tc>
          <w:tcPr>
            <w:tcW w:w="1598" w:type="pct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98B08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2192" w:type="pct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47963D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Threshold – more than:</w:t>
            </w:r>
          </w:p>
        </w:tc>
      </w:tr>
      <w:tr w:rsidR="00365023" w:rsidRPr="00385F08" w14:paraId="59F1D364" w14:textId="77777777" w:rsidTr="00D118F7">
        <w:tc>
          <w:tcPr>
            <w:tcW w:w="1210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03189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All investors</w:t>
            </w:r>
          </w:p>
          <w:p w14:paraId="74E90AB7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D064B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 xml:space="preserve">National security land 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72FCE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</w:p>
        </w:tc>
      </w:tr>
      <w:tr w:rsidR="00365023" w:rsidRPr="00385F08" w14:paraId="0684D8F2" w14:textId="77777777" w:rsidTr="00D118F7">
        <w:tc>
          <w:tcPr>
            <w:tcW w:w="1210" w:type="pct"/>
            <w:vMerge/>
            <w:vAlign w:val="center"/>
            <w:hideMark/>
          </w:tcPr>
          <w:p w14:paraId="2D479033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3CB72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Residential land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0A2DD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</w:p>
        </w:tc>
      </w:tr>
      <w:tr w:rsidR="00365023" w:rsidRPr="00385F08" w14:paraId="127B4968" w14:textId="77777777" w:rsidTr="00D118F7">
        <w:tc>
          <w:tcPr>
            <w:tcW w:w="1210" w:type="pct"/>
            <w:vMerge/>
            <w:vAlign w:val="center"/>
          </w:tcPr>
          <w:p w14:paraId="31837B88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6CC0D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Vacant commercial land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6ED8AE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</w:p>
        </w:tc>
      </w:tr>
      <w:tr w:rsidR="00365023" w:rsidRPr="00385F08" w14:paraId="2F039A27" w14:textId="77777777" w:rsidTr="00D118F7">
        <w:tc>
          <w:tcPr>
            <w:tcW w:w="1210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BC51E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Private investors from certain FTA partners</w:t>
            </w:r>
            <w:r w:rsidRPr="00385F08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598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5DB6E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Agricultural land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FC209" w14:textId="68982666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11CF">
              <w:rPr>
                <w:rFonts w:asciiTheme="minorHAnsi" w:hAnsiTheme="minorHAnsi" w:cstheme="minorHAnsi"/>
                <w:sz w:val="22"/>
                <w:szCs w:val="22"/>
              </w:rPr>
              <w:t>For Chile, New Zealand, and the United States, $1,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54CEE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  <w:r w:rsidR="00577973" w:rsidRPr="00385F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million</w:t>
            </w:r>
          </w:p>
        </w:tc>
      </w:tr>
      <w:tr w:rsidR="00365023" w:rsidRPr="00385F08" w14:paraId="41860E34" w14:textId="77777777" w:rsidTr="00D118F7">
        <w:tc>
          <w:tcPr>
            <w:tcW w:w="1210" w:type="pct"/>
            <w:vMerge/>
            <w:vAlign w:val="center"/>
            <w:hideMark/>
          </w:tcPr>
          <w:p w14:paraId="383D9D90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vMerge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D27D86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639D9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Others, $15 million (cumulative)</w:t>
            </w:r>
          </w:p>
        </w:tc>
      </w:tr>
      <w:tr w:rsidR="00365023" w:rsidRPr="00385F08" w14:paraId="18572830" w14:textId="77777777" w:rsidTr="00D118F7">
        <w:tc>
          <w:tcPr>
            <w:tcW w:w="1210" w:type="pct"/>
            <w:vMerge/>
            <w:vAlign w:val="center"/>
            <w:hideMark/>
          </w:tcPr>
          <w:p w14:paraId="4EDBA899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FC8E7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Developed commercial land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B1F29" w14:textId="3005FB89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$1,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127A0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  <w:r w:rsidR="00577973" w:rsidRPr="00385F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million</w:t>
            </w:r>
            <w:r w:rsidRPr="00385F08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3"/>
            </w:r>
          </w:p>
        </w:tc>
      </w:tr>
      <w:tr w:rsidR="00365023" w:rsidRPr="00385F08" w14:paraId="7C44BC5A" w14:textId="77777777" w:rsidTr="00D118F7">
        <w:tc>
          <w:tcPr>
            <w:tcW w:w="1210" w:type="pct"/>
            <w:vMerge/>
            <w:vAlign w:val="center"/>
            <w:hideMark/>
          </w:tcPr>
          <w:p w14:paraId="62AD6711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7E8C5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Mining and production tenements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98F22" w14:textId="0AB5353E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11CF">
              <w:rPr>
                <w:rFonts w:asciiTheme="minorHAnsi" w:hAnsiTheme="minorHAnsi" w:cstheme="minorHAnsi"/>
                <w:sz w:val="22"/>
                <w:szCs w:val="22"/>
              </w:rPr>
              <w:t>For Chile, New Zealand, and the United States, $1,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127A0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  <w:r w:rsidR="00577973" w:rsidRPr="00385F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million</w:t>
            </w:r>
          </w:p>
        </w:tc>
      </w:tr>
      <w:tr w:rsidR="00365023" w:rsidRPr="00385F08" w14:paraId="7548EC6F" w14:textId="77777777" w:rsidTr="00D118F7">
        <w:tc>
          <w:tcPr>
            <w:tcW w:w="1210" w:type="pct"/>
            <w:vMerge/>
            <w:vAlign w:val="center"/>
            <w:hideMark/>
          </w:tcPr>
          <w:p w14:paraId="73FAC0F4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vMerge/>
            <w:vAlign w:val="center"/>
            <w:hideMark/>
          </w:tcPr>
          <w:p w14:paraId="75C93F02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31EFF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Others, $0</w:t>
            </w:r>
          </w:p>
        </w:tc>
      </w:tr>
      <w:tr w:rsidR="00365023" w:rsidRPr="00385F08" w14:paraId="401FE2DB" w14:textId="77777777" w:rsidTr="00D118F7">
        <w:tc>
          <w:tcPr>
            <w:tcW w:w="1210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34953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Private investors not from a certain FTA partner</w:t>
            </w:r>
          </w:p>
        </w:tc>
        <w:tc>
          <w:tcPr>
            <w:tcW w:w="1598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0B750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Agricultural land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560D0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For Thailand, $50 million</w:t>
            </w:r>
          </w:p>
        </w:tc>
      </w:tr>
      <w:tr w:rsidR="00365023" w:rsidRPr="00385F08" w14:paraId="76AE6E3D" w14:textId="77777777" w:rsidTr="00D118F7">
        <w:tc>
          <w:tcPr>
            <w:tcW w:w="1210" w:type="pct"/>
            <w:vMerge/>
            <w:vAlign w:val="center"/>
            <w:hideMark/>
          </w:tcPr>
          <w:p w14:paraId="224EB67D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vMerge/>
            <w:vAlign w:val="center"/>
            <w:hideMark/>
          </w:tcPr>
          <w:p w14:paraId="40BBA576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787B7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Others, $15 million (cumulative)</w:t>
            </w:r>
          </w:p>
        </w:tc>
      </w:tr>
      <w:tr w:rsidR="00F311CF" w:rsidRPr="00385F08" w14:paraId="1AB4272C" w14:textId="77777777" w:rsidTr="00D118F7">
        <w:tc>
          <w:tcPr>
            <w:tcW w:w="1210" w:type="pct"/>
            <w:vMerge/>
            <w:vAlign w:val="center"/>
            <w:hideMark/>
          </w:tcPr>
          <w:p w14:paraId="1CC8169E" w14:textId="77777777" w:rsidR="00F311CF" w:rsidRPr="00385F08" w:rsidRDefault="00F311CF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87A00" w14:textId="77777777" w:rsidR="00F311CF" w:rsidRPr="00385F08" w:rsidRDefault="00F311CF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Developed commercial land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D1A3C" w14:textId="64C843B8" w:rsidR="00F311CF" w:rsidRPr="00385F08" w:rsidRDefault="00F311CF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05D8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 xml:space="preserve"> million</w:t>
            </w:r>
          </w:p>
        </w:tc>
      </w:tr>
      <w:tr w:rsidR="00F311CF" w:rsidRPr="00385F08" w14:paraId="5C020408" w14:textId="77777777" w:rsidTr="00D118F7">
        <w:tc>
          <w:tcPr>
            <w:tcW w:w="1210" w:type="pct"/>
            <w:vMerge/>
            <w:vAlign w:val="center"/>
            <w:hideMark/>
          </w:tcPr>
          <w:p w14:paraId="0C4F7F61" w14:textId="77777777" w:rsidR="00F311CF" w:rsidRPr="00385F08" w:rsidRDefault="00F311CF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vMerge/>
            <w:vAlign w:val="center"/>
            <w:hideMark/>
          </w:tcPr>
          <w:p w14:paraId="60D66F26" w14:textId="77777777" w:rsidR="00F311CF" w:rsidRPr="00385F08" w:rsidRDefault="00F311CF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2E683" w14:textId="71DACC86" w:rsidR="00F311CF" w:rsidRPr="00385F08" w:rsidRDefault="00F311CF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Where the land is sensitive</w:t>
            </w:r>
            <w:r w:rsidRPr="00385F08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4"/>
            </w: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, $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9257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 xml:space="preserve"> million</w:t>
            </w:r>
          </w:p>
        </w:tc>
      </w:tr>
      <w:tr w:rsidR="00F311CF" w:rsidRPr="00385F08" w14:paraId="177FAB93" w14:textId="77777777" w:rsidTr="00D118F7">
        <w:tc>
          <w:tcPr>
            <w:tcW w:w="1210" w:type="pct"/>
            <w:vMerge/>
            <w:vAlign w:val="center"/>
          </w:tcPr>
          <w:p w14:paraId="46A2B689" w14:textId="77777777" w:rsidR="00F311CF" w:rsidRPr="00385F08" w:rsidRDefault="00F311CF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vMerge/>
            <w:vAlign w:val="center"/>
          </w:tcPr>
          <w:p w14:paraId="6B417112" w14:textId="77777777" w:rsidR="00F311CF" w:rsidRPr="00385F08" w:rsidRDefault="00F311CF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9BAE6F" w14:textId="71E512FC" w:rsidR="00F311CF" w:rsidRPr="00385F08" w:rsidRDefault="00F311CF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India, non-sensitive</w:t>
            </w:r>
            <w:r w:rsidR="00E00C4B">
              <w:rPr>
                <w:rFonts w:asciiTheme="minorHAnsi" w:hAnsiTheme="minorHAnsi" w:cstheme="minorHAnsi"/>
                <w:sz w:val="22"/>
                <w:szCs w:val="22"/>
              </w:rPr>
              <w:t xml:space="preserve"> land </w:t>
            </w:r>
            <w:r w:rsidR="00527E29">
              <w:rPr>
                <w:rFonts w:asciiTheme="minorHAnsi" w:hAnsiTheme="minorHAnsi" w:cstheme="minorHAnsi"/>
                <w:sz w:val="22"/>
                <w:szCs w:val="22"/>
              </w:rPr>
              <w:t>for the</w:t>
            </w:r>
            <w:r w:rsidR="00E00C4B">
              <w:rPr>
                <w:rFonts w:asciiTheme="minorHAnsi" w:hAnsiTheme="minorHAnsi" w:cstheme="minorHAnsi"/>
                <w:sz w:val="22"/>
                <w:szCs w:val="22"/>
              </w:rPr>
              <w:t xml:space="preserve"> supply</w:t>
            </w:r>
            <w:r w:rsidR="00527E29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services, $5</w:t>
            </w:r>
            <w:r w:rsidR="00D127A0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million</w:t>
            </w:r>
            <w:r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5"/>
            </w:r>
          </w:p>
        </w:tc>
      </w:tr>
      <w:tr w:rsidR="00365023" w:rsidRPr="00385F08" w14:paraId="674CB0EF" w14:textId="77777777" w:rsidTr="00D118F7">
        <w:tc>
          <w:tcPr>
            <w:tcW w:w="1210" w:type="pct"/>
            <w:vMerge/>
            <w:vAlign w:val="center"/>
            <w:hideMark/>
          </w:tcPr>
          <w:p w14:paraId="54619BF1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8621D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Mining and production tenements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8CC26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</w:p>
        </w:tc>
      </w:tr>
      <w:tr w:rsidR="00365023" w:rsidRPr="006E0664" w14:paraId="4264E129" w14:textId="77777777" w:rsidTr="00D118F7">
        <w:tc>
          <w:tcPr>
            <w:tcW w:w="121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CA695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Foreign government investors</w:t>
            </w: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F48DE" w14:textId="77777777" w:rsidR="00365023" w:rsidRPr="00385F08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investments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B42F7" w14:textId="77777777" w:rsidR="00365023" w:rsidRPr="006E0664" w:rsidRDefault="00365023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</w:p>
        </w:tc>
      </w:tr>
    </w:tbl>
    <w:p w14:paraId="331EBD29" w14:textId="77777777" w:rsidR="00DE4C2E" w:rsidRDefault="00DE4C2E"/>
    <w:p w14:paraId="6EE582EC" w14:textId="77777777" w:rsidR="00DD624C" w:rsidRDefault="00DD624C">
      <w:pPr>
        <w:spacing w:after="160" w:line="259" w:lineRule="auto"/>
        <w:rPr>
          <w:rFonts w:ascii="Arial Narrow" w:hAnsi="Arial Narrow"/>
          <w:b/>
          <w:color w:val="003E74"/>
          <w:sz w:val="20"/>
          <w:szCs w:val="20"/>
        </w:rPr>
      </w:pPr>
      <w:r>
        <w:br w:type="page"/>
      </w:r>
    </w:p>
    <w:p w14:paraId="3D4B8A83" w14:textId="2B2CC099" w:rsidR="00221D84" w:rsidRPr="00385F08" w:rsidRDefault="00221D84" w:rsidP="00221D84">
      <w:pPr>
        <w:pStyle w:val="Heading3"/>
      </w:pPr>
      <w:r>
        <w:lastRenderedPageBreak/>
        <w:t>NON-</w:t>
      </w:r>
      <w:r w:rsidRPr="00385F08">
        <w:t xml:space="preserve">LAND </w:t>
      </w:r>
      <w:r w:rsidR="008B0D87">
        <w:t>INVESTMENTS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4"/>
        <w:gridCol w:w="2713"/>
        <w:gridCol w:w="3721"/>
      </w:tblGrid>
      <w:tr w:rsidR="00221D84" w:rsidRPr="00385F08" w14:paraId="780CC945" w14:textId="77777777" w:rsidTr="00D118F7">
        <w:trPr>
          <w:tblHeader/>
        </w:trPr>
        <w:tc>
          <w:tcPr>
            <w:tcW w:w="1210" w:type="pct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D9B69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Investor</w:t>
            </w:r>
          </w:p>
        </w:tc>
        <w:tc>
          <w:tcPr>
            <w:tcW w:w="1598" w:type="pct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FBA20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2192" w:type="pct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43332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Threshold – more than:</w:t>
            </w:r>
          </w:p>
        </w:tc>
      </w:tr>
      <w:tr w:rsidR="00221D84" w:rsidRPr="00385F08" w14:paraId="44E15A10" w14:textId="77777777" w:rsidTr="00D118F7">
        <w:tc>
          <w:tcPr>
            <w:tcW w:w="1210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2608B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All investors</w:t>
            </w:r>
          </w:p>
          <w:p w14:paraId="138E6D5F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683D1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National security businesses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BCC81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</w:p>
        </w:tc>
      </w:tr>
      <w:tr w:rsidR="00221D84" w:rsidRPr="00385F08" w14:paraId="609D2E4B" w14:textId="77777777" w:rsidTr="00D118F7">
        <w:tc>
          <w:tcPr>
            <w:tcW w:w="1210" w:type="pct"/>
            <w:vMerge/>
            <w:vAlign w:val="center"/>
            <w:hideMark/>
          </w:tcPr>
          <w:p w14:paraId="1448F28E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DE3CA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Australian media businesses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88AAF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</w:p>
        </w:tc>
      </w:tr>
      <w:tr w:rsidR="00D118F7" w:rsidRPr="00385F08" w14:paraId="1DBAA42F" w14:textId="77777777" w:rsidTr="00D118F7">
        <w:tc>
          <w:tcPr>
            <w:tcW w:w="1210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5E178" w14:textId="77777777" w:rsidR="00D118F7" w:rsidRPr="00385F08" w:rsidRDefault="00D118F7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Private investors from certain FTA partners</w:t>
            </w:r>
            <w:r w:rsidRPr="00385F08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6"/>
            </w: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7737D" w14:textId="77777777" w:rsidR="00D118F7" w:rsidRPr="00A62732" w:rsidRDefault="008B0D87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r w:rsidR="00D118F7" w:rsidRPr="00A62732">
              <w:rPr>
                <w:rFonts w:asciiTheme="minorHAnsi" w:hAnsiTheme="minorHAnsi" w:cstheme="minorHAnsi"/>
                <w:sz w:val="22"/>
                <w:szCs w:val="22"/>
              </w:rPr>
              <w:noBreakHyphen/>
              <w:t>sensitive businesses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65368" w14:textId="7C16335F" w:rsidR="00D118F7" w:rsidRPr="00A62732" w:rsidRDefault="00D118F7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$1,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92577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  <w:r w:rsidR="00577973" w:rsidRPr="00A627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million</w:t>
            </w:r>
          </w:p>
        </w:tc>
      </w:tr>
      <w:tr w:rsidR="00D118F7" w:rsidRPr="00385F08" w14:paraId="335B854C" w14:textId="77777777" w:rsidTr="00D118F7">
        <w:tc>
          <w:tcPr>
            <w:tcW w:w="1210" w:type="pct"/>
            <w:vMerge/>
            <w:vAlign w:val="center"/>
            <w:hideMark/>
          </w:tcPr>
          <w:p w14:paraId="1C396C07" w14:textId="77777777" w:rsidR="00D118F7" w:rsidRPr="00385F08" w:rsidRDefault="00D118F7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210EC" w14:textId="77777777" w:rsidR="00D118F7" w:rsidRPr="00A62732" w:rsidRDefault="008B0D87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118F7" w:rsidRPr="00A62732">
              <w:rPr>
                <w:rFonts w:asciiTheme="minorHAnsi" w:hAnsiTheme="minorHAnsi" w:cstheme="minorHAnsi"/>
                <w:sz w:val="22"/>
                <w:szCs w:val="22"/>
              </w:rPr>
              <w:t>ensitive businesses</w:t>
            </w:r>
            <w:r w:rsidR="00D118F7" w:rsidRPr="00A627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7"/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801969" w14:textId="7ABDBE04" w:rsidR="00D118F7" w:rsidRPr="00A62732" w:rsidRDefault="00D118F7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6201B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A265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77973" w:rsidRPr="00A627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million</w:t>
            </w:r>
          </w:p>
        </w:tc>
      </w:tr>
      <w:tr w:rsidR="00D118F7" w:rsidRPr="00385F08" w14:paraId="676F1FD3" w14:textId="77777777" w:rsidTr="00D118F7">
        <w:tc>
          <w:tcPr>
            <w:tcW w:w="1210" w:type="pct"/>
            <w:vMerge/>
            <w:vAlign w:val="center"/>
            <w:hideMark/>
          </w:tcPr>
          <w:p w14:paraId="59157845" w14:textId="77777777" w:rsidR="00D118F7" w:rsidRPr="00385F08" w:rsidRDefault="00D118F7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3C9BB" w14:textId="77777777" w:rsidR="00D118F7" w:rsidRPr="00A62732" w:rsidRDefault="00D118F7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Agribusinesses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EDC88" w14:textId="5C2F9F0E" w:rsidR="00D118F7" w:rsidRPr="00A62732" w:rsidRDefault="00D118F7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For Chile, New Zealand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United States, $1,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A265C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  <w:r w:rsidR="00577973" w:rsidRPr="00A6273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million.</w:t>
            </w:r>
          </w:p>
        </w:tc>
      </w:tr>
      <w:tr w:rsidR="00D118F7" w:rsidRPr="00385F08" w14:paraId="2A0A68AD" w14:textId="77777777" w:rsidTr="00D118F7">
        <w:tc>
          <w:tcPr>
            <w:tcW w:w="1210" w:type="pct"/>
            <w:vMerge/>
            <w:vAlign w:val="center"/>
            <w:hideMark/>
          </w:tcPr>
          <w:p w14:paraId="2D24DA5D" w14:textId="77777777" w:rsidR="00D118F7" w:rsidRPr="00385F08" w:rsidRDefault="00D118F7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vMerge/>
            <w:vAlign w:val="center"/>
            <w:hideMark/>
          </w:tcPr>
          <w:p w14:paraId="79D9ED29" w14:textId="77777777" w:rsidR="00D118F7" w:rsidRPr="00385F08" w:rsidRDefault="00D118F7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C33C2" w14:textId="29F5C2D0" w:rsidR="00D118F7" w:rsidRPr="00A62732" w:rsidRDefault="00D118F7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Others, $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A26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77973" w:rsidRPr="00A627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 xml:space="preserve">million </w:t>
            </w:r>
            <w:r w:rsidRPr="006E0664">
              <w:rPr>
                <w:rFonts w:asciiTheme="minorHAnsi" w:hAnsiTheme="minorHAnsi" w:cstheme="minorHAnsi"/>
                <w:sz w:val="22"/>
                <w:szCs w:val="22"/>
              </w:rPr>
              <w:t>(cumulative)</w:t>
            </w:r>
            <w:r w:rsidRPr="00A62732" w:rsidDel="00D51A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D624C" w:rsidRPr="00385F08" w14:paraId="24AD744E" w14:textId="77777777" w:rsidTr="00D118F7">
        <w:tc>
          <w:tcPr>
            <w:tcW w:w="1210" w:type="pct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E8E76" w14:textId="77777777" w:rsidR="00DD624C" w:rsidRPr="00385F08" w:rsidRDefault="00DD624C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Private investors not from a certain FTA partner</w:t>
            </w: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C2800" w14:textId="38797E75" w:rsidR="00DD624C" w:rsidRPr="00A62732" w:rsidRDefault="00DD624C" w:rsidP="00091C4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Business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sensitive and non-sensitive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E74777" w14:textId="543F8086" w:rsidR="00DD624C" w:rsidRPr="00A62732" w:rsidRDefault="00DD624C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A265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 xml:space="preserve"> million</w:t>
            </w:r>
          </w:p>
        </w:tc>
      </w:tr>
      <w:tr w:rsidR="00DD624C" w:rsidRPr="00385F08" w14:paraId="4F759C61" w14:textId="77777777" w:rsidTr="00D118F7">
        <w:tc>
          <w:tcPr>
            <w:tcW w:w="1210" w:type="pct"/>
            <w:vMerge/>
            <w:vAlign w:val="center"/>
            <w:hideMark/>
          </w:tcPr>
          <w:p w14:paraId="2D53972C" w14:textId="77777777" w:rsidR="00DD624C" w:rsidRPr="00385F08" w:rsidRDefault="00DD624C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B4DB8" w14:textId="77777777" w:rsidR="00DD624C" w:rsidRPr="00A62732" w:rsidRDefault="00DD624C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Agribusinesses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18AC6" w14:textId="23328227" w:rsidR="00DD624C" w:rsidRPr="00A62732" w:rsidRDefault="00DD624C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353F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A26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62732">
              <w:rPr>
                <w:rFonts w:asciiTheme="minorHAnsi" w:hAnsiTheme="minorHAnsi" w:cstheme="minorHAnsi"/>
                <w:sz w:val="22"/>
                <w:szCs w:val="22"/>
              </w:rPr>
              <w:t xml:space="preserve"> million </w:t>
            </w:r>
            <w:r w:rsidRPr="006E0664">
              <w:rPr>
                <w:rFonts w:asciiTheme="minorHAnsi" w:hAnsiTheme="minorHAnsi" w:cstheme="minorHAnsi"/>
                <w:sz w:val="22"/>
                <w:szCs w:val="22"/>
              </w:rPr>
              <w:t>(cumulative)</w:t>
            </w:r>
            <w:r w:rsidRPr="00A62732" w:rsidDel="00D51A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D624C" w:rsidRPr="00385F08" w14:paraId="1631CA04" w14:textId="77777777" w:rsidTr="00D118F7">
        <w:tc>
          <w:tcPr>
            <w:tcW w:w="1210" w:type="pct"/>
            <w:vMerge/>
            <w:vAlign w:val="center"/>
          </w:tcPr>
          <w:p w14:paraId="63893BA7" w14:textId="77777777" w:rsidR="00DD624C" w:rsidRPr="00385F08" w:rsidRDefault="00DD624C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C25BCC" w14:textId="363BAB8D" w:rsidR="00DD624C" w:rsidRPr="00A62732" w:rsidRDefault="00DD624C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businesses (non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noBreakHyphen/>
              <w:t>sensitive)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86AB1" w14:textId="63B7D41A" w:rsidR="00DD624C" w:rsidRPr="00A62732" w:rsidRDefault="00DD624C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India, $5</w:t>
            </w:r>
            <w:r w:rsidR="00DE4C2E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million</w:t>
            </w:r>
            <w:r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8"/>
            </w:r>
          </w:p>
        </w:tc>
      </w:tr>
      <w:tr w:rsidR="00221D84" w:rsidRPr="006E0664" w14:paraId="39858950" w14:textId="77777777" w:rsidTr="00D118F7">
        <w:tc>
          <w:tcPr>
            <w:tcW w:w="121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D15E5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b/>
                <w:sz w:val="22"/>
                <w:szCs w:val="22"/>
              </w:rPr>
              <w:t>Foreign government investors</w:t>
            </w:r>
          </w:p>
        </w:tc>
        <w:tc>
          <w:tcPr>
            <w:tcW w:w="159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DD82C" w14:textId="77777777" w:rsidR="00221D84" w:rsidRPr="00385F08" w:rsidRDefault="00221D84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investments</w:t>
            </w:r>
          </w:p>
        </w:tc>
        <w:tc>
          <w:tcPr>
            <w:tcW w:w="21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ACBB3" w14:textId="3FCB0D61" w:rsidR="00221D84" w:rsidRPr="006E0664" w:rsidRDefault="00221D84" w:rsidP="00D118F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5F08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  <w:r w:rsidR="00680B83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9"/>
            </w:r>
          </w:p>
        </w:tc>
      </w:tr>
    </w:tbl>
    <w:p w14:paraId="52F1A27F" w14:textId="77777777" w:rsidR="00221D84" w:rsidRDefault="00221D84"/>
    <w:sectPr w:rsidR="00221D84" w:rsidSect="00277FC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701" w:bottom="1021" w:left="1701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2B0A" w14:textId="77777777" w:rsidR="00D36A43" w:rsidRDefault="00D36A43" w:rsidP="00365023">
      <w:pPr>
        <w:spacing w:after="0"/>
      </w:pPr>
      <w:r>
        <w:separator/>
      </w:r>
    </w:p>
  </w:endnote>
  <w:endnote w:type="continuationSeparator" w:id="0">
    <w:p w14:paraId="53E2BE29" w14:textId="77777777" w:rsidR="00D36A43" w:rsidRDefault="00D36A43" w:rsidP="00365023">
      <w:pPr>
        <w:spacing w:after="0"/>
      </w:pPr>
      <w:r>
        <w:continuationSeparator/>
      </w:r>
    </w:p>
  </w:endnote>
  <w:endnote w:type="continuationNotice" w:id="1">
    <w:p w14:paraId="4AB3F394" w14:textId="77777777" w:rsidR="00D36A43" w:rsidRDefault="00D36A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A0A3" w14:textId="59541D67" w:rsidR="00252ED5" w:rsidRPr="00252ED5" w:rsidRDefault="00252ED5" w:rsidP="00252ED5">
    <w:pPr>
      <w:tabs>
        <w:tab w:val="center" w:pos="7938"/>
      </w:tabs>
      <w:spacing w:before="120" w:after="120"/>
      <w:jc w:val="right"/>
      <w:rPr>
        <w:rFonts w:ascii="Calibri Light" w:hAnsi="Calibri Light"/>
        <w:color w:val="auto"/>
        <w:sz w:val="20"/>
        <w:szCs w:val="20"/>
      </w:rPr>
    </w:pPr>
    <w:r w:rsidRPr="00252ED5">
      <w:rPr>
        <w:rFonts w:ascii="Calibri Light" w:hAnsi="Calibri Light"/>
        <w:noProof/>
        <w:color w:val="auto"/>
        <w:position w:val="-10"/>
        <w:sz w:val="20"/>
        <w:szCs w:val="20"/>
      </w:rPr>
      <w:drawing>
        <wp:inline distT="0" distB="0" distL="0" distR="0" wp14:anchorId="213B5406" wp14:editId="7C13369A">
          <wp:extent cx="21780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2ED5">
      <w:rPr>
        <w:rFonts w:ascii="Calibri Light" w:hAnsi="Calibri Light"/>
        <w:color w:val="auto"/>
        <w:sz w:val="20"/>
        <w:szCs w:val="20"/>
      </w:rPr>
      <w:tab/>
      <w:t xml:space="preserve">(1 January 2025) | </w:t>
    </w:r>
    <w:r w:rsidRPr="00252ED5">
      <w:rPr>
        <w:rFonts w:ascii="Calibri Light" w:hAnsi="Calibri Light"/>
        <w:color w:val="auto"/>
        <w:sz w:val="20"/>
        <w:szCs w:val="20"/>
      </w:rPr>
      <w:fldChar w:fldCharType="begin"/>
    </w:r>
    <w:r w:rsidRPr="00252ED5">
      <w:rPr>
        <w:rFonts w:ascii="Calibri Light" w:hAnsi="Calibri Light"/>
        <w:color w:val="auto"/>
        <w:sz w:val="20"/>
        <w:szCs w:val="20"/>
      </w:rPr>
      <w:instrText xml:space="preserve"> PAGE   \* MERGEFORMAT </w:instrText>
    </w:r>
    <w:r w:rsidRPr="00252ED5">
      <w:rPr>
        <w:rFonts w:ascii="Calibri Light" w:hAnsi="Calibri Light"/>
        <w:color w:val="auto"/>
        <w:sz w:val="20"/>
        <w:szCs w:val="20"/>
      </w:rPr>
      <w:fldChar w:fldCharType="separate"/>
    </w:r>
    <w:r w:rsidRPr="00252ED5">
      <w:rPr>
        <w:rFonts w:ascii="Calibri Light" w:hAnsi="Calibri Light"/>
        <w:color w:val="auto"/>
        <w:sz w:val="20"/>
        <w:szCs w:val="20"/>
      </w:rPr>
      <w:t>1</w:t>
    </w:r>
    <w:r w:rsidRPr="00252ED5">
      <w:rPr>
        <w:rFonts w:ascii="Calibri Light" w:hAnsi="Calibri Light"/>
        <w:color w:val="aut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8346" w14:textId="77777777" w:rsidR="00D54B18" w:rsidRPr="00252ED5" w:rsidRDefault="00D54B18" w:rsidP="00D54B18">
    <w:pPr>
      <w:tabs>
        <w:tab w:val="center" w:pos="7938"/>
      </w:tabs>
      <w:spacing w:before="120" w:after="120"/>
      <w:jc w:val="right"/>
      <w:rPr>
        <w:rFonts w:ascii="Calibri Light" w:hAnsi="Calibri Light"/>
        <w:color w:val="auto"/>
        <w:sz w:val="20"/>
        <w:szCs w:val="20"/>
      </w:rPr>
    </w:pPr>
    <w:r w:rsidRPr="00252ED5">
      <w:rPr>
        <w:rFonts w:ascii="Calibri Light" w:hAnsi="Calibri Light"/>
        <w:noProof/>
        <w:color w:val="auto"/>
        <w:position w:val="-10"/>
        <w:sz w:val="20"/>
        <w:szCs w:val="20"/>
      </w:rPr>
      <w:drawing>
        <wp:inline distT="0" distB="0" distL="0" distR="0" wp14:anchorId="1BD7D77E" wp14:editId="4272C60E">
          <wp:extent cx="2178000" cy="201600"/>
          <wp:effectExtent l="0" t="0" r="0" b="8255"/>
          <wp:docPr id="102972386" name="Picture 1029723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2ED5">
      <w:rPr>
        <w:rFonts w:ascii="Calibri Light" w:hAnsi="Calibri Light"/>
        <w:color w:val="auto"/>
        <w:sz w:val="20"/>
        <w:szCs w:val="20"/>
      </w:rPr>
      <w:tab/>
      <w:t xml:space="preserve">(1 January 2025) | </w:t>
    </w:r>
    <w:r w:rsidRPr="00252ED5">
      <w:rPr>
        <w:rFonts w:ascii="Calibri Light" w:hAnsi="Calibri Light"/>
        <w:color w:val="auto"/>
        <w:sz w:val="20"/>
        <w:szCs w:val="20"/>
      </w:rPr>
      <w:fldChar w:fldCharType="begin"/>
    </w:r>
    <w:r w:rsidRPr="00252ED5">
      <w:rPr>
        <w:rFonts w:ascii="Calibri Light" w:hAnsi="Calibri Light"/>
        <w:color w:val="auto"/>
        <w:sz w:val="20"/>
        <w:szCs w:val="20"/>
      </w:rPr>
      <w:instrText xml:space="preserve"> PAGE   \* MERGEFORMAT </w:instrText>
    </w:r>
    <w:r w:rsidRPr="00252ED5">
      <w:rPr>
        <w:rFonts w:ascii="Calibri Light" w:hAnsi="Calibri Light"/>
        <w:color w:val="auto"/>
        <w:sz w:val="20"/>
        <w:szCs w:val="20"/>
      </w:rPr>
      <w:fldChar w:fldCharType="separate"/>
    </w:r>
    <w:r>
      <w:rPr>
        <w:sz w:val="20"/>
      </w:rPr>
      <w:t>2</w:t>
    </w:r>
    <w:r w:rsidRPr="00252ED5">
      <w:rPr>
        <w:rFonts w:ascii="Calibri Light" w:hAnsi="Calibri Light"/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6925" w14:textId="77777777" w:rsidR="00D36A43" w:rsidRDefault="00D36A43" w:rsidP="00365023">
      <w:pPr>
        <w:spacing w:after="0"/>
      </w:pPr>
      <w:r>
        <w:separator/>
      </w:r>
    </w:p>
  </w:footnote>
  <w:footnote w:type="continuationSeparator" w:id="0">
    <w:p w14:paraId="6A3A3A34" w14:textId="77777777" w:rsidR="00D36A43" w:rsidRDefault="00D36A43" w:rsidP="00365023">
      <w:pPr>
        <w:spacing w:after="0"/>
      </w:pPr>
      <w:r>
        <w:continuationSeparator/>
      </w:r>
    </w:p>
  </w:footnote>
  <w:footnote w:type="continuationNotice" w:id="1">
    <w:p w14:paraId="322CF4AF" w14:textId="77777777" w:rsidR="00D36A43" w:rsidRDefault="00D36A43">
      <w:pPr>
        <w:spacing w:after="0"/>
      </w:pPr>
    </w:p>
  </w:footnote>
  <w:footnote w:id="2">
    <w:p w14:paraId="5DCE0214" w14:textId="126724CF" w:rsidR="00365023" w:rsidRPr="008F1F02" w:rsidRDefault="00365023" w:rsidP="00365023">
      <w:pPr>
        <w:pStyle w:val="FootnoteText"/>
      </w:pPr>
      <w:r w:rsidRPr="00785616">
        <w:rPr>
          <w:rStyle w:val="FootnoteReference"/>
        </w:rPr>
        <w:footnoteRef/>
      </w:r>
      <w:r w:rsidRPr="00785616">
        <w:t xml:space="preserve"> </w:t>
      </w:r>
      <w:r>
        <w:tab/>
        <w:t>The certain FTA partners are:</w:t>
      </w:r>
      <w:r w:rsidRPr="000C42BD">
        <w:t xml:space="preserve"> Chile, China, </w:t>
      </w:r>
      <w:r>
        <w:t xml:space="preserve">Hong Kong, </w:t>
      </w:r>
      <w:r w:rsidRPr="000C42BD">
        <w:t xml:space="preserve">Japan, New Zealand, </w:t>
      </w:r>
      <w:r>
        <w:t xml:space="preserve">Peru, </w:t>
      </w:r>
      <w:r w:rsidRPr="000C42BD">
        <w:t xml:space="preserve">Singapore, </w:t>
      </w:r>
      <w:r w:rsidR="00702864">
        <w:t xml:space="preserve">the Republic of </w:t>
      </w:r>
      <w:r w:rsidRPr="000C42BD">
        <w:t>Korea</w:t>
      </w:r>
      <w:r>
        <w:t>, the United States of America,</w:t>
      </w:r>
      <w:r w:rsidR="001E5B88">
        <w:t xml:space="preserve"> the United Kingdom</w:t>
      </w:r>
      <w:r>
        <w:t xml:space="preserve"> </w:t>
      </w:r>
      <w:r w:rsidRPr="00921E2C">
        <w:t xml:space="preserve">and any other countries </w:t>
      </w:r>
      <w:r>
        <w:t xml:space="preserve">not otherwise listed </w:t>
      </w:r>
      <w:r w:rsidRPr="00921E2C">
        <w:t>(other than Australia) for which the Comprehensive and Progressive Agreement for Trans</w:t>
      </w:r>
      <w:r w:rsidRPr="00921E2C">
        <w:noBreakHyphen/>
        <w:t>Pacific Partnership (CPTPP), done at Santiago on 8</w:t>
      </w:r>
      <w:r>
        <w:t> </w:t>
      </w:r>
      <w:r w:rsidRPr="00921E2C">
        <w:t>March 2018, is in force</w:t>
      </w:r>
      <w:r>
        <w:t xml:space="preserve"> (i.e. Canada, Mexico, </w:t>
      </w:r>
      <w:r w:rsidR="004B7A3C">
        <w:t xml:space="preserve">Malaysia </w:t>
      </w:r>
      <w:r>
        <w:t>and Vietnam)</w:t>
      </w:r>
      <w:r>
        <w:rPr>
          <w:rFonts w:cstheme="minorHAnsi"/>
          <w:color w:val="212529"/>
        </w:rPr>
        <w:t xml:space="preserve">. To be eligible for these thresholds, the immediate acquirer must be an entity formed in one of these countries. An investor acquiring through a subsidiary incorporated in another jurisdiction will be subject </w:t>
      </w:r>
      <w:r w:rsidRPr="008F1F02">
        <w:rPr>
          <w:rFonts w:cstheme="minorHAnsi"/>
          <w:color w:val="212529"/>
        </w:rPr>
        <w:t>to the relevant thresholds of the subsidiary’s jurisdiction.</w:t>
      </w:r>
    </w:p>
  </w:footnote>
  <w:footnote w:id="3">
    <w:p w14:paraId="4332A311" w14:textId="1E50E3A8" w:rsidR="00365023" w:rsidRDefault="00365023" w:rsidP="00365023">
      <w:pPr>
        <w:pStyle w:val="FootnoteText"/>
      </w:pPr>
      <w:r w:rsidRPr="008F1F02">
        <w:rPr>
          <w:rStyle w:val="FootnoteReference"/>
        </w:rPr>
        <w:footnoteRef/>
      </w:r>
      <w:r w:rsidRPr="008F1F02">
        <w:t xml:space="preserve"> </w:t>
      </w:r>
      <w:r w:rsidRPr="008F1F02">
        <w:tab/>
        <w:t xml:space="preserve">For Hong Kong and Peruvian investors however, where developed commercial land is also sensitive land (see </w:t>
      </w:r>
      <w:r w:rsidR="0066354F" w:rsidRPr="008F1F02">
        <w:t>sub</w:t>
      </w:r>
      <w:r w:rsidRPr="008F1F02">
        <w:t>section</w:t>
      </w:r>
      <w:r w:rsidR="00CC0846">
        <w:t>s</w:t>
      </w:r>
      <w:r w:rsidRPr="008F1F02">
        <w:t xml:space="preserve"> 52</w:t>
      </w:r>
      <w:r w:rsidR="00CC0846">
        <w:t xml:space="preserve">(5) and </w:t>
      </w:r>
      <w:r w:rsidR="00E00C4B">
        <w:t>52</w:t>
      </w:r>
      <w:r w:rsidRPr="008F1F02">
        <w:t xml:space="preserve">(6) of the </w:t>
      </w:r>
      <w:r w:rsidR="0066354F" w:rsidRPr="008F1F02">
        <w:rPr>
          <w:i/>
          <w:iCs/>
        </w:rPr>
        <w:t xml:space="preserve">Foreign Acquisitions and Takeovers </w:t>
      </w:r>
      <w:r w:rsidRPr="008F1F02">
        <w:rPr>
          <w:i/>
          <w:iCs/>
        </w:rPr>
        <w:t>Regulation</w:t>
      </w:r>
      <w:r w:rsidR="0066354F" w:rsidRPr="008F1F02">
        <w:rPr>
          <w:i/>
          <w:iCs/>
        </w:rPr>
        <w:t xml:space="preserve"> 2015</w:t>
      </w:r>
      <w:r w:rsidRPr="008F1F02">
        <w:t>), a threshold of $</w:t>
      </w:r>
      <w:r w:rsidR="00960AAB">
        <w:t>7</w:t>
      </w:r>
      <w:r w:rsidR="00D62C7D">
        <w:t>3</w:t>
      </w:r>
      <w:r w:rsidR="00577973" w:rsidRPr="008F1F02">
        <w:t xml:space="preserve"> </w:t>
      </w:r>
      <w:r w:rsidRPr="008F1F02">
        <w:t>million will apply.</w:t>
      </w:r>
      <w:r w:rsidR="00FE2806">
        <w:t xml:space="preserve"> </w:t>
      </w:r>
    </w:p>
  </w:footnote>
  <w:footnote w:id="4">
    <w:p w14:paraId="08A69FF1" w14:textId="6C88BFE6" w:rsidR="00F311CF" w:rsidRDefault="00F311CF" w:rsidP="00365023">
      <w:pPr>
        <w:pStyle w:val="FootnoteText"/>
      </w:pPr>
      <w:r w:rsidRPr="00785616">
        <w:rPr>
          <w:rStyle w:val="FootnoteReference"/>
        </w:rPr>
        <w:footnoteRef/>
      </w:r>
      <w:r>
        <w:t xml:space="preserve"> </w:t>
      </w:r>
      <w:r>
        <w:tab/>
        <w:t xml:space="preserve">Sensitive developed commercial land (see subsection 52(6) of the </w:t>
      </w:r>
      <w:r w:rsidRPr="00602840">
        <w:rPr>
          <w:i/>
          <w:iCs/>
        </w:rPr>
        <w:t>Foreign Acquisitions and Takeovers Regulation 2015</w:t>
      </w:r>
      <w:r>
        <w:t>) includes: mines and critical infrastructure (for example, an airport or port).</w:t>
      </w:r>
    </w:p>
  </w:footnote>
  <w:footnote w:id="5">
    <w:p w14:paraId="25E5FA8B" w14:textId="1606F375" w:rsidR="00F311CF" w:rsidRDefault="00F311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This applies to developed commercial land acquired </w:t>
      </w:r>
      <w:r w:rsidR="00E00C4B">
        <w:t>predominantly for the supply of a service through a commercial presence in Australia</w:t>
      </w:r>
      <w:r>
        <w:t xml:space="preserve"> (see subsection 52(5), table item 3A of the </w:t>
      </w:r>
      <w:r w:rsidRPr="00F311CF">
        <w:rPr>
          <w:i/>
          <w:iCs/>
        </w:rPr>
        <w:t>Foreign Acquisitions and Takeovers Regulation 2015</w:t>
      </w:r>
      <w:r>
        <w:t>)</w:t>
      </w:r>
      <w:r w:rsidR="00851AF3">
        <w:t>.</w:t>
      </w:r>
    </w:p>
  </w:footnote>
  <w:footnote w:id="6">
    <w:p w14:paraId="7B528F14" w14:textId="644BCE04" w:rsidR="00D118F7" w:rsidRDefault="00D118F7" w:rsidP="00221D84">
      <w:pPr>
        <w:pStyle w:val="FootnoteText"/>
      </w:pPr>
      <w:r w:rsidRPr="00785616">
        <w:rPr>
          <w:rStyle w:val="FootnoteReference"/>
        </w:rPr>
        <w:footnoteRef/>
      </w:r>
      <w:r w:rsidRPr="00785616">
        <w:t xml:space="preserve"> </w:t>
      </w:r>
      <w:r>
        <w:tab/>
        <w:t>The certain FTA partners are:</w:t>
      </w:r>
      <w:r w:rsidRPr="000C42BD">
        <w:t xml:space="preserve"> Chile, China, </w:t>
      </w:r>
      <w:r>
        <w:t xml:space="preserve">Hong Kong, </w:t>
      </w:r>
      <w:r w:rsidRPr="000C42BD">
        <w:t xml:space="preserve">Japan, New Zealand, </w:t>
      </w:r>
      <w:r>
        <w:t xml:space="preserve">Peru, </w:t>
      </w:r>
      <w:r w:rsidRPr="000C42BD">
        <w:t xml:space="preserve">Singapore, </w:t>
      </w:r>
      <w:r w:rsidR="0066354F">
        <w:t xml:space="preserve">the Republic of </w:t>
      </w:r>
      <w:r w:rsidRPr="000C42BD">
        <w:t>Korea</w:t>
      </w:r>
      <w:r>
        <w:t>, the United States of America,</w:t>
      </w:r>
      <w:r w:rsidR="00356AF2">
        <w:t xml:space="preserve"> the United Kingdom</w:t>
      </w:r>
      <w:r>
        <w:t xml:space="preserve"> </w:t>
      </w:r>
      <w:r w:rsidRPr="00921E2C">
        <w:t xml:space="preserve">and any other countries </w:t>
      </w:r>
      <w:r>
        <w:t xml:space="preserve">not otherwise listed </w:t>
      </w:r>
      <w:r w:rsidRPr="00921E2C">
        <w:t>(other than Australia) for which the Comprehensive and Progressive Agreement for Trans</w:t>
      </w:r>
      <w:r w:rsidRPr="00921E2C">
        <w:noBreakHyphen/>
        <w:t>Pacific Partnership (CPTPP), done at Santiago on 8</w:t>
      </w:r>
      <w:r>
        <w:t> </w:t>
      </w:r>
      <w:r w:rsidRPr="00921E2C">
        <w:t>March 2018, is in force</w:t>
      </w:r>
      <w:r>
        <w:t xml:space="preserve"> (i.e. Canada, Mexico, </w:t>
      </w:r>
      <w:r w:rsidR="004B7A3C">
        <w:t xml:space="preserve">Malaysia </w:t>
      </w:r>
      <w:r>
        <w:t>and Vietnam)</w:t>
      </w:r>
      <w:r>
        <w:rPr>
          <w:rFonts w:cstheme="minorHAnsi"/>
          <w:color w:val="212529"/>
        </w:rPr>
        <w:t>. To be eligible for these thresholds, the immediate acquirer must be an entity formed in one of these countries. An investor acquiring through a subsidiary incorporated in another jurisdiction will be subject to the relevant thresholds of the subsidiary’s jurisdiction.</w:t>
      </w:r>
    </w:p>
  </w:footnote>
  <w:footnote w:id="7">
    <w:p w14:paraId="2947EAC1" w14:textId="45DAF660" w:rsidR="00D118F7" w:rsidRDefault="00D118F7">
      <w:pPr>
        <w:pStyle w:val="FootnoteText"/>
      </w:pPr>
      <w:r w:rsidRPr="00401F44">
        <w:rPr>
          <w:rStyle w:val="FootnoteReference"/>
          <w:rFonts w:cs="Arial"/>
          <w:sz w:val="18"/>
          <w:szCs w:val="18"/>
        </w:rPr>
        <w:footnoteRef/>
      </w:r>
      <w:r w:rsidRPr="00401F4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77973">
        <w:t>Sensitive businesses (</w:t>
      </w:r>
      <w:r w:rsidRPr="001346F8">
        <w:t xml:space="preserve">see section </w:t>
      </w:r>
      <w:r>
        <w:t>2</w:t>
      </w:r>
      <w:r w:rsidRPr="001346F8">
        <w:t xml:space="preserve">2 of the </w:t>
      </w:r>
      <w:r w:rsidR="0066354F" w:rsidRPr="0066354F">
        <w:rPr>
          <w:i/>
          <w:iCs/>
        </w:rPr>
        <w:t xml:space="preserve">Foreign Acquisitions and Takeovers </w:t>
      </w:r>
      <w:r w:rsidRPr="0066354F">
        <w:rPr>
          <w:i/>
          <w:iCs/>
        </w:rPr>
        <w:t>Regulation</w:t>
      </w:r>
      <w:r w:rsidR="0066354F" w:rsidRPr="0066354F">
        <w:rPr>
          <w:i/>
          <w:iCs/>
        </w:rPr>
        <w:t xml:space="preserve"> 2015</w:t>
      </w:r>
      <w:r>
        <w:t>)</w:t>
      </w:r>
      <w:r w:rsidRPr="00577973">
        <w:t xml:space="preserve"> include: media; telecommunications; transport; defence and military related industries and activities; encryption and securities technologies and communications systems; and the extraction of uranium or plutonium; or the operation of nuclear facilities.</w:t>
      </w:r>
    </w:p>
  </w:footnote>
  <w:footnote w:id="8">
    <w:p w14:paraId="7C15595E" w14:textId="4B4DCBDF" w:rsidR="00DD624C" w:rsidRDefault="00DD62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subsections 51(2) and </w:t>
      </w:r>
      <w:r w:rsidR="00E00C4B">
        <w:t>51</w:t>
      </w:r>
      <w:r>
        <w:t xml:space="preserve">(3) of the </w:t>
      </w:r>
      <w:r w:rsidRPr="00DD624C">
        <w:rPr>
          <w:i/>
          <w:iCs/>
        </w:rPr>
        <w:t>Foreign Acquisitions and Takeovers Regulation 2015</w:t>
      </w:r>
      <w:r w:rsidR="00074413">
        <w:t>.</w:t>
      </w:r>
      <w:r>
        <w:t xml:space="preserve"> </w:t>
      </w:r>
    </w:p>
  </w:footnote>
  <w:footnote w:id="9">
    <w:p w14:paraId="6BCD0A2B" w14:textId="4E290456" w:rsidR="00680B83" w:rsidRDefault="00680B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Some limited exceptions to this rule apply (see section 56 of the </w:t>
      </w:r>
      <w:r w:rsidRPr="00680B83">
        <w:rPr>
          <w:i/>
          <w:iCs/>
        </w:rPr>
        <w:t>Foreign Acquisitions and Takeovers Regulation 2015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0590" w14:textId="6E2BCE4D" w:rsidR="003E5C68" w:rsidRDefault="00D54B18" w:rsidP="00CB3FCC">
    <w:pPr>
      <w:pStyle w:val="Header"/>
    </w:pPr>
    <w:r w:rsidRPr="00D54B18">
      <w:rPr>
        <w:rFonts w:ascii="Calibri Light" w:hAnsi="Calibri Light"/>
        <w:noProof/>
        <w:color w:val="auto"/>
        <w:sz w:val="22"/>
        <w:szCs w:val="20"/>
      </w:rPr>
      <w:drawing>
        <wp:anchor distT="0" distB="0" distL="114300" distR="114300" simplePos="0" relativeHeight="251663360" behindDoc="1" locked="0" layoutInCell="1" allowOverlap="1" wp14:anchorId="219642F5" wp14:editId="55292BE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dec="http://schemas.microsoft.com/office/drawing/2017/decorativ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4CE5" w14:textId="06A0FE97" w:rsidR="007D305F" w:rsidRDefault="007D305F">
    <w:pPr>
      <w:pStyle w:val="Header"/>
    </w:pPr>
    <w:r w:rsidRPr="00CB3FCC">
      <w:rPr>
        <w:rFonts w:ascii="Calibri Light" w:hAnsi="Calibri Light"/>
        <w:noProof/>
        <w:color w:val="auto"/>
        <w:sz w:val="22"/>
        <w:szCs w:val="20"/>
      </w:rPr>
      <w:drawing>
        <wp:anchor distT="0" distB="0" distL="114300" distR="114300" simplePos="0" relativeHeight="251661312" behindDoc="1" locked="0" layoutInCell="1" allowOverlap="0" wp14:anchorId="69538D11" wp14:editId="6988EA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673521233" name="Picture 6735212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23"/>
    <w:rsid w:val="00013CE4"/>
    <w:rsid w:val="000328A4"/>
    <w:rsid w:val="00074413"/>
    <w:rsid w:val="00091C46"/>
    <w:rsid w:val="000E5D42"/>
    <w:rsid w:val="00125218"/>
    <w:rsid w:val="0014240D"/>
    <w:rsid w:val="0016794B"/>
    <w:rsid w:val="00180F3F"/>
    <w:rsid w:val="00181FDC"/>
    <w:rsid w:val="001A31AC"/>
    <w:rsid w:val="001C4836"/>
    <w:rsid w:val="001E5B88"/>
    <w:rsid w:val="00221D84"/>
    <w:rsid w:val="002521BA"/>
    <w:rsid w:val="00252ED5"/>
    <w:rsid w:val="00262CCB"/>
    <w:rsid w:val="00277FCC"/>
    <w:rsid w:val="003204E0"/>
    <w:rsid w:val="003329B3"/>
    <w:rsid w:val="00356AF2"/>
    <w:rsid w:val="00365023"/>
    <w:rsid w:val="003C0E14"/>
    <w:rsid w:val="003E5C68"/>
    <w:rsid w:val="003F5957"/>
    <w:rsid w:val="0041138F"/>
    <w:rsid w:val="00436D07"/>
    <w:rsid w:val="00464FF6"/>
    <w:rsid w:val="00472855"/>
    <w:rsid w:val="004B7A3C"/>
    <w:rsid w:val="004C0C3C"/>
    <w:rsid w:val="00527E29"/>
    <w:rsid w:val="00562A5B"/>
    <w:rsid w:val="00577973"/>
    <w:rsid w:val="005B4B6A"/>
    <w:rsid w:val="00602840"/>
    <w:rsid w:val="006201BD"/>
    <w:rsid w:val="00636844"/>
    <w:rsid w:val="0066354F"/>
    <w:rsid w:val="00680B83"/>
    <w:rsid w:val="006A565F"/>
    <w:rsid w:val="006F45B6"/>
    <w:rsid w:val="00702864"/>
    <w:rsid w:val="007129A5"/>
    <w:rsid w:val="007317B9"/>
    <w:rsid w:val="007A7754"/>
    <w:rsid w:val="007D305F"/>
    <w:rsid w:val="007F202A"/>
    <w:rsid w:val="00840787"/>
    <w:rsid w:val="00851AF3"/>
    <w:rsid w:val="00854CEE"/>
    <w:rsid w:val="00892577"/>
    <w:rsid w:val="0089648A"/>
    <w:rsid w:val="008B0D87"/>
    <w:rsid w:val="008F1F02"/>
    <w:rsid w:val="0095047B"/>
    <w:rsid w:val="00960AAB"/>
    <w:rsid w:val="00975B72"/>
    <w:rsid w:val="009E27F4"/>
    <w:rsid w:val="00A10D5E"/>
    <w:rsid w:val="00A32F42"/>
    <w:rsid w:val="00A377DB"/>
    <w:rsid w:val="00A654F9"/>
    <w:rsid w:val="00AD5CCE"/>
    <w:rsid w:val="00B05D88"/>
    <w:rsid w:val="00B21F98"/>
    <w:rsid w:val="00B27E4A"/>
    <w:rsid w:val="00B27E5E"/>
    <w:rsid w:val="00B36FC7"/>
    <w:rsid w:val="00B37EA5"/>
    <w:rsid w:val="00B81455"/>
    <w:rsid w:val="00B84807"/>
    <w:rsid w:val="00B87AA9"/>
    <w:rsid w:val="00B93E44"/>
    <w:rsid w:val="00BB43B5"/>
    <w:rsid w:val="00C72AAB"/>
    <w:rsid w:val="00C7748F"/>
    <w:rsid w:val="00C8762C"/>
    <w:rsid w:val="00C93A21"/>
    <w:rsid w:val="00CB3FCC"/>
    <w:rsid w:val="00CC0846"/>
    <w:rsid w:val="00CE1122"/>
    <w:rsid w:val="00D118F7"/>
    <w:rsid w:val="00D127A0"/>
    <w:rsid w:val="00D36A43"/>
    <w:rsid w:val="00D54B18"/>
    <w:rsid w:val="00D62C7D"/>
    <w:rsid w:val="00DA3061"/>
    <w:rsid w:val="00DD3DBF"/>
    <w:rsid w:val="00DD624C"/>
    <w:rsid w:val="00DE4C2E"/>
    <w:rsid w:val="00E00C4B"/>
    <w:rsid w:val="00E353F4"/>
    <w:rsid w:val="00EA265C"/>
    <w:rsid w:val="00EB6628"/>
    <w:rsid w:val="00ED3C37"/>
    <w:rsid w:val="00F21D11"/>
    <w:rsid w:val="00F25EAA"/>
    <w:rsid w:val="00F311CF"/>
    <w:rsid w:val="00F83896"/>
    <w:rsid w:val="00F855E3"/>
    <w:rsid w:val="00FB0E1F"/>
    <w:rsid w:val="00FB6100"/>
    <w:rsid w:val="00F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CD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23"/>
    <w:pPr>
      <w:spacing w:after="220" w:line="240" w:lineRule="auto"/>
    </w:pPr>
    <w:rPr>
      <w:rFonts w:ascii="Calibri" w:eastAsia="Times New Roman" w:hAnsi="Calibri" w:cs="Times New Roman"/>
      <w:color w:val="000000" w:themeColor="text1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3"/>
    <w:pPr>
      <w:spacing w:before="240" w:after="120"/>
      <w:outlineLvl w:val="1"/>
    </w:pPr>
    <w:rPr>
      <w:rFonts w:ascii="Arial Narrow" w:hAnsi="Arial Narrow" w:cs="Tahoma"/>
      <w:b/>
      <w:smallCaps/>
      <w:color w:val="003E74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5023"/>
    <w:pPr>
      <w:spacing w:before="120" w:after="120"/>
      <w:outlineLvl w:val="2"/>
    </w:pPr>
    <w:rPr>
      <w:rFonts w:ascii="Arial Narrow" w:hAnsi="Arial Narrow"/>
      <w:b/>
      <w:color w:val="003E7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5023"/>
    <w:rPr>
      <w:rFonts w:ascii="Arial Narrow" w:eastAsia="Times New Roman" w:hAnsi="Arial Narrow" w:cs="Tahoma"/>
      <w:b/>
      <w:smallCaps/>
      <w:color w:val="003E74"/>
      <w:sz w:val="3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65023"/>
    <w:rPr>
      <w:rFonts w:ascii="Arial Narrow" w:eastAsia="Times New Roman" w:hAnsi="Arial Narrow" w:cs="Times New Roman"/>
      <w:b/>
      <w:color w:val="003E74"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365023"/>
    <w:pPr>
      <w:spacing w:after="0"/>
      <w:ind w:left="567" w:hanging="56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5023"/>
    <w:rPr>
      <w:rFonts w:ascii="Calibri" w:eastAsia="Times New Roman" w:hAnsi="Calibri" w:cs="Times New Roman"/>
      <w:color w:val="000000" w:themeColor="text1"/>
      <w:sz w:val="20"/>
      <w:szCs w:val="20"/>
      <w:lang w:eastAsia="en-AU"/>
    </w:rPr>
  </w:style>
  <w:style w:type="character" w:styleId="FootnoteReference">
    <w:name w:val="footnote reference"/>
    <w:uiPriority w:val="99"/>
    <w:rsid w:val="0036502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D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84"/>
    <w:rPr>
      <w:rFonts w:ascii="Segoe UI" w:eastAsia="Times New Roman" w:hAnsi="Segoe UI" w:cs="Segoe UI"/>
      <w:color w:val="000000" w:themeColor="text1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3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FC7"/>
    <w:rPr>
      <w:rFonts w:ascii="Calibri" w:eastAsia="Times New Roman" w:hAnsi="Calibri" w:cs="Times New Roman"/>
      <w:color w:val="000000" w:themeColor="text1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C7"/>
    <w:rPr>
      <w:rFonts w:ascii="Calibri" w:eastAsia="Times New Roman" w:hAnsi="Calibri" w:cs="Times New Roman"/>
      <w:b/>
      <w:bCs/>
      <w:color w:val="000000" w:themeColor="text1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6F45B6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E5C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5C68"/>
    <w:rPr>
      <w:rFonts w:ascii="Calibri" w:eastAsia="Times New Roman" w:hAnsi="Calibri" w:cs="Times New Roman"/>
      <w:color w:val="000000" w:themeColor="text1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E5C6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5C68"/>
    <w:rPr>
      <w:rFonts w:ascii="Calibri" w:eastAsia="Times New Roman" w:hAnsi="Calibri" w:cs="Times New Roman"/>
      <w:color w:val="000000" w:themeColor="text1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D3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Monetary thresholds update - 1 January 2025</vt:lpstr>
    </vt:vector>
  </TitlesOfParts>
  <Manager/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Monetary thresholds update - 1 January 2025</dc:title>
  <dc:subject/>
  <dc:creator/>
  <cp:keywords/>
  <dc:description/>
  <cp:lastModifiedBy/>
  <cp:revision>1</cp:revision>
  <dcterms:created xsi:type="dcterms:W3CDTF">2025-01-06T23:30:00Z</dcterms:created>
  <dcterms:modified xsi:type="dcterms:W3CDTF">2025-01-06T23:30:00Z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2025-01-06T23:30:47Z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c691cd61-7f7d-4061-87bb-87e22cd85615</vt:lpwstr>
  </property>
  <property fmtid="{D5CDD505-2E9C-101B-9397-08002B2CF9AE}" pid="8" name="MSIP_Label_4f932d64-9ab1-4d9b-81d2-a3a8b82dd47d_ContentBits">
    <vt:lpwstr>0</vt:lpwstr>
  </property>
</Properties>
</file>