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28FF" w14:textId="76E7804F" w:rsidR="00986A46" w:rsidRDefault="009C3463" w:rsidP="00300C95">
      <w:pPr>
        <w:pStyle w:val="Factsheettitle"/>
        <w:spacing w:before="1440"/>
      </w:pPr>
      <w:r>
        <w:t>Transitional Guide</w:t>
      </w:r>
    </w:p>
    <w:p w14:paraId="57C7AEEB" w14:textId="612CB56E" w:rsidR="00AC4183" w:rsidRPr="006E76BE" w:rsidRDefault="0038196D" w:rsidP="00AC4183">
      <w:pPr>
        <w:pStyle w:val="Heading1"/>
      </w:pPr>
      <w:r>
        <w:t>Register of Foreign Ownership of Australian Assets</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01A9E1FB" w14:textId="77777777" w:rsidTr="00FC2E34">
        <w:tc>
          <w:tcPr>
            <w:tcW w:w="8498" w:type="dxa"/>
            <w:shd w:val="clear" w:color="auto" w:fill="auto"/>
          </w:tcPr>
          <w:p w14:paraId="48C67CAD" w14:textId="2A98F53E" w:rsidR="00FC2E34" w:rsidRPr="00E847A7" w:rsidRDefault="00FC2E34" w:rsidP="00E847A7">
            <w:pPr>
              <w:pStyle w:val="Introtext"/>
            </w:pPr>
          </w:p>
        </w:tc>
      </w:tr>
    </w:tbl>
    <w:p w14:paraId="4C7B72A5" w14:textId="6F98F492" w:rsidR="00494943" w:rsidRDefault="007E36BD" w:rsidP="007E36BD">
      <w:pPr>
        <w:pStyle w:val="Bullet"/>
        <w:spacing w:before="240"/>
      </w:pPr>
      <w:r>
        <w:t>1 July 2023</w:t>
      </w:r>
      <w:r w:rsidR="00307486">
        <w:t xml:space="preserve"> is the commencement date for </w:t>
      </w:r>
      <w:r w:rsidR="000B71AB">
        <w:t xml:space="preserve">the Register of Foreign Ownership of Australian Assets (the </w:t>
      </w:r>
      <w:r w:rsidR="000B71AB" w:rsidRPr="000B71AB">
        <w:rPr>
          <w:b/>
          <w:bCs/>
        </w:rPr>
        <w:t>Register</w:t>
      </w:r>
      <w:r w:rsidR="000B71AB">
        <w:t xml:space="preserve">). </w:t>
      </w:r>
    </w:p>
    <w:p w14:paraId="512ADEC3" w14:textId="5A49E8D7" w:rsidR="00EF3F8F" w:rsidRDefault="00A72578" w:rsidP="00B06136">
      <w:pPr>
        <w:pStyle w:val="Bullet"/>
      </w:pPr>
      <w:r>
        <w:t>The A</w:t>
      </w:r>
      <w:r w:rsidR="00F5258B">
        <w:t>ustralian Taxation Office</w:t>
      </w:r>
      <w:r>
        <w:t xml:space="preserve"> will administer the Register</w:t>
      </w:r>
      <w:r w:rsidR="00265FB5">
        <w:t>. T</w:t>
      </w:r>
      <w:r w:rsidR="00EF3F8F">
        <w:t xml:space="preserve">he Commissioner of Taxation </w:t>
      </w:r>
      <w:r w:rsidR="00D73C66">
        <w:t>is</w:t>
      </w:r>
      <w:r w:rsidR="008C2E52">
        <w:t xml:space="preserve"> </w:t>
      </w:r>
      <w:r w:rsidR="00EF3F8F">
        <w:t xml:space="preserve">the Registrar of the Register. </w:t>
      </w:r>
    </w:p>
    <w:p w14:paraId="36EA06FF" w14:textId="571F7A01" w:rsidR="00494943" w:rsidRDefault="000712EC" w:rsidP="00AC4183">
      <w:pPr>
        <w:pStyle w:val="Bullet"/>
      </w:pPr>
      <w:r>
        <w:t xml:space="preserve">This </w:t>
      </w:r>
      <w:r w:rsidR="00566889">
        <w:t>T</w:t>
      </w:r>
      <w:r w:rsidR="00EC16E3">
        <w:t xml:space="preserve">ransitional </w:t>
      </w:r>
      <w:r w:rsidR="00566889">
        <w:t>G</w:t>
      </w:r>
      <w:r w:rsidR="00EC16E3">
        <w:t>uide explains</w:t>
      </w:r>
      <w:r>
        <w:t xml:space="preserve"> the interaction </w:t>
      </w:r>
      <w:r w:rsidR="00A14B31">
        <w:t xml:space="preserve">between </w:t>
      </w:r>
      <w:r w:rsidR="00BB22AC">
        <w:t xml:space="preserve">previous </w:t>
      </w:r>
      <w:r>
        <w:t xml:space="preserve">existing notification obligations for foreign persons </w:t>
      </w:r>
      <w:r w:rsidR="00DC4FA0">
        <w:t xml:space="preserve">under the </w:t>
      </w:r>
      <w:r w:rsidR="00DC4FA0" w:rsidRPr="00DC4FA0">
        <w:rPr>
          <w:i/>
          <w:iCs/>
        </w:rPr>
        <w:t>Foreign Acquisitions and Takeovers Act 1975</w:t>
      </w:r>
      <w:r w:rsidR="00DC4FA0">
        <w:t xml:space="preserve"> </w:t>
      </w:r>
      <w:r w:rsidR="0050795E">
        <w:t>(</w:t>
      </w:r>
      <w:r w:rsidR="00FC2CC8">
        <w:t xml:space="preserve">the </w:t>
      </w:r>
      <w:r w:rsidR="00FC2CC8" w:rsidRPr="00AB271F">
        <w:rPr>
          <w:b/>
          <w:bCs/>
        </w:rPr>
        <w:t>Act</w:t>
      </w:r>
      <w:r w:rsidR="0050795E">
        <w:t>)</w:t>
      </w:r>
      <w:r w:rsidR="00472B2D">
        <w:t xml:space="preserve">, </w:t>
      </w:r>
      <w:r w:rsidR="006C5899">
        <w:t xml:space="preserve">the </w:t>
      </w:r>
      <w:r w:rsidR="007C2562">
        <w:rPr>
          <w:i/>
          <w:iCs/>
        </w:rPr>
        <w:t xml:space="preserve">Register of Foreign </w:t>
      </w:r>
      <w:r w:rsidR="00CD2F3F">
        <w:rPr>
          <w:i/>
          <w:iCs/>
        </w:rPr>
        <w:t>O</w:t>
      </w:r>
      <w:r w:rsidR="007C2562">
        <w:rPr>
          <w:i/>
          <w:iCs/>
        </w:rPr>
        <w:t xml:space="preserve">wnership of Water or Agricultural Land Act </w:t>
      </w:r>
      <w:r w:rsidR="007C2562" w:rsidRPr="00382003">
        <w:rPr>
          <w:i/>
          <w:iCs/>
        </w:rPr>
        <w:t>2015</w:t>
      </w:r>
      <w:r w:rsidR="00635030">
        <w:t xml:space="preserve"> (the </w:t>
      </w:r>
      <w:r w:rsidR="00635030" w:rsidRPr="008420DD">
        <w:rPr>
          <w:b/>
          <w:bCs/>
        </w:rPr>
        <w:t>Old Register Act</w:t>
      </w:r>
      <w:r w:rsidR="00635030">
        <w:t>)</w:t>
      </w:r>
      <w:r w:rsidR="00472B2D" w:rsidRPr="008420DD">
        <w:t xml:space="preserve">, </w:t>
      </w:r>
      <w:r w:rsidR="00472B2D">
        <w:t>residential land reporting conditions</w:t>
      </w:r>
      <w:r w:rsidR="002B33F7">
        <w:t xml:space="preserve"> imposed in no objection notifications and exemption </w:t>
      </w:r>
      <w:proofErr w:type="gramStart"/>
      <w:r w:rsidR="002B33F7">
        <w:t>certificates</w:t>
      </w:r>
      <w:r w:rsidR="00472B2D">
        <w:t>;</w:t>
      </w:r>
      <w:proofErr w:type="gramEnd"/>
      <w:r w:rsidR="007C2562">
        <w:t xml:space="preserve"> </w:t>
      </w:r>
      <w:r w:rsidRPr="007C2562">
        <w:t>and</w:t>
      </w:r>
      <w:r>
        <w:t xml:space="preserve"> new obligations under the Register. </w:t>
      </w:r>
    </w:p>
    <w:p w14:paraId="05112D18" w14:textId="48789BAB" w:rsidR="00B15642" w:rsidRDefault="000712EC" w:rsidP="00AC4183">
      <w:pPr>
        <w:pStyle w:val="Bullet"/>
      </w:pPr>
      <w:r>
        <w:t>Th</w:t>
      </w:r>
      <w:r w:rsidR="00A70EC9">
        <w:t>e</w:t>
      </w:r>
      <w:r>
        <w:t xml:space="preserve"> information</w:t>
      </w:r>
      <w:r w:rsidR="00A70EC9">
        <w:t xml:space="preserve"> provided</w:t>
      </w:r>
      <w:r>
        <w:t xml:space="preserve"> is general advice </w:t>
      </w:r>
      <w:r w:rsidR="00DC4FA0">
        <w:t xml:space="preserve">only </w:t>
      </w:r>
      <w:r>
        <w:t xml:space="preserve">and you should </w:t>
      </w:r>
      <w:r w:rsidR="00AB6F88">
        <w:t>take</w:t>
      </w:r>
      <w:r w:rsidR="00DC4FA0">
        <w:t xml:space="preserve"> </w:t>
      </w:r>
      <w:r>
        <w:t xml:space="preserve">your </w:t>
      </w:r>
      <w:proofErr w:type="gramStart"/>
      <w:r>
        <w:t>particular circumstances</w:t>
      </w:r>
      <w:proofErr w:type="gramEnd"/>
      <w:r>
        <w:t xml:space="preserve"> into account when determining how the law applies to you.</w:t>
      </w:r>
      <w:r w:rsidR="00742F4B">
        <w:t xml:space="preserve"> </w:t>
      </w:r>
    </w:p>
    <w:p w14:paraId="460D761E" w14:textId="77777777" w:rsidR="00841C36" w:rsidRDefault="00841C36">
      <w:pPr>
        <w:spacing w:before="0" w:after="0"/>
        <w:rPr>
          <w:rFonts w:ascii="Calibri" w:hAnsi="Calibri" w:cs="Arial"/>
          <w:iCs/>
          <w:color w:val="2C384A"/>
          <w:kern w:val="32"/>
          <w:sz w:val="36"/>
          <w:szCs w:val="28"/>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4"/>
      </w:tblGrid>
      <w:tr w:rsidR="00732C6B" w:rsidRPr="00812BB7" w14:paraId="10A27281" w14:textId="77777777" w:rsidTr="001728A3">
        <w:tc>
          <w:tcPr>
            <w:tcW w:w="5000" w:type="pct"/>
            <w:shd w:val="clear" w:color="auto" w:fill="F2F2F2" w:themeFill="background1" w:themeFillShade="F2"/>
            <w:tcMar>
              <w:top w:w="227" w:type="dxa"/>
              <w:left w:w="227" w:type="dxa"/>
              <w:bottom w:w="227" w:type="dxa"/>
              <w:right w:w="227" w:type="dxa"/>
            </w:tcMar>
          </w:tcPr>
          <w:p w14:paraId="60591D85" w14:textId="77777777" w:rsidR="00732C6B" w:rsidRPr="00812BB7" w:rsidRDefault="00732C6B" w:rsidP="001728A3">
            <w:pPr>
              <w:pStyle w:val="BoxHeading"/>
            </w:pPr>
            <w:r w:rsidRPr="00812BB7">
              <w:lastRenderedPageBreak/>
              <w:t xml:space="preserve">Note </w:t>
            </w:r>
          </w:p>
          <w:p w14:paraId="67BE752F" w14:textId="65A45D15" w:rsidR="00732C6B" w:rsidRPr="00812BB7" w:rsidRDefault="00732C6B" w:rsidP="001728A3">
            <w:pPr>
              <w:pStyle w:val="BoxText"/>
            </w:pPr>
            <w:r>
              <w:t xml:space="preserve">In some cases, Treasury will not take compliance action against foreign persons who </w:t>
            </w:r>
            <w:r w:rsidR="00A06CBF">
              <w:t xml:space="preserve">fail </w:t>
            </w:r>
            <w:r>
              <w:t>to notify the Treasurer</w:t>
            </w:r>
            <w:r w:rsidR="00E52550">
              <w:t xml:space="preserve"> or Treasury</w:t>
            </w:r>
            <w:r w:rsidR="00A871DE">
              <w:t xml:space="preserve"> of an event</w:t>
            </w:r>
            <w:r w:rsidR="00DA5405">
              <w:t xml:space="preserve"> under </w:t>
            </w:r>
            <w:r w:rsidR="00D12857">
              <w:t xml:space="preserve">no objection notification or exemption certificate </w:t>
            </w:r>
            <w:r w:rsidR="00DF0ED6">
              <w:t xml:space="preserve">reporting </w:t>
            </w:r>
            <w:r w:rsidR="00DA5405">
              <w:t>conditions</w:t>
            </w:r>
            <w:r>
              <w:t xml:space="preserve"> </w:t>
            </w:r>
            <w:r w:rsidR="00023561">
              <w:t xml:space="preserve">but </w:t>
            </w:r>
            <w:r w:rsidR="00523606">
              <w:t xml:space="preserve">who </w:t>
            </w:r>
            <w:r w:rsidR="00023561">
              <w:t>instead</w:t>
            </w:r>
            <w:r>
              <w:t xml:space="preserve"> give a register notice in relation to the same event. For more information, see the </w:t>
            </w:r>
            <w:r>
              <w:rPr>
                <w:i/>
                <w:iCs/>
              </w:rPr>
              <w:t>Register of Foreign Ownership of Australian Assets</w:t>
            </w:r>
            <w:r>
              <w:t xml:space="preserve"> Guidance Note.</w:t>
            </w:r>
          </w:p>
        </w:tc>
      </w:tr>
    </w:tbl>
    <w:p w14:paraId="0A75E3BC" w14:textId="03F41670" w:rsidR="008D20CA" w:rsidRDefault="008D20CA" w:rsidP="00AB271F">
      <w:pPr>
        <w:pStyle w:val="Heading2"/>
      </w:pPr>
      <w:r>
        <w:t>Summary</w:t>
      </w:r>
    </w:p>
    <w:p w14:paraId="6D248767" w14:textId="6D64EBE1" w:rsidR="005F5562" w:rsidRDefault="004D03AB" w:rsidP="00BB6E71">
      <w:pPr>
        <w:pStyle w:val="Bullet"/>
      </w:pPr>
      <w:r>
        <w:t xml:space="preserve">In relation to </w:t>
      </w:r>
      <w:r w:rsidR="00D31408">
        <w:t xml:space="preserve">actions taken </w:t>
      </w:r>
      <w:r w:rsidR="0050561E">
        <w:t xml:space="preserve">from </w:t>
      </w:r>
      <w:r w:rsidR="00B77F92">
        <w:t>1 July 2023:</w:t>
      </w:r>
    </w:p>
    <w:p w14:paraId="4A67D976" w14:textId="580CA486" w:rsidR="00B77F92" w:rsidRDefault="00B77F92" w:rsidP="00B77F92">
      <w:pPr>
        <w:pStyle w:val="Bullet"/>
        <w:numPr>
          <w:ilvl w:val="1"/>
          <w:numId w:val="7"/>
        </w:numPr>
      </w:pPr>
      <w:r>
        <w:t>For actions that are within</w:t>
      </w:r>
      <w:r w:rsidR="00BE5FE6">
        <w:t xml:space="preserve"> the</w:t>
      </w:r>
      <w:r>
        <w:t xml:space="preserve"> scope of the Register (see </w:t>
      </w:r>
      <w:r w:rsidR="003063FD">
        <w:t>the</w:t>
      </w:r>
      <w:r>
        <w:t xml:space="preserve"> </w:t>
      </w:r>
      <w:r w:rsidR="003063FD">
        <w:rPr>
          <w:i/>
          <w:iCs/>
        </w:rPr>
        <w:t xml:space="preserve">Register of Foreign Ownership of Australian Assets </w:t>
      </w:r>
      <w:r w:rsidR="003063FD">
        <w:t>Guidance Note</w:t>
      </w:r>
      <w:r>
        <w:t xml:space="preserve">), </w:t>
      </w:r>
      <w:r w:rsidR="00344473">
        <w:t>notification</w:t>
      </w:r>
      <w:r>
        <w:t xml:space="preserve"> obligations will be to </w:t>
      </w:r>
      <w:r w:rsidR="0086548C">
        <w:t xml:space="preserve">the </w:t>
      </w:r>
      <w:r w:rsidR="00E30B63">
        <w:t>Registrar</w:t>
      </w:r>
      <w:r w:rsidR="00344473">
        <w:t>.</w:t>
      </w:r>
    </w:p>
    <w:p w14:paraId="3BBD85EE" w14:textId="42B49413" w:rsidR="00344473" w:rsidRDefault="00344473" w:rsidP="00B77F92">
      <w:pPr>
        <w:pStyle w:val="Bullet"/>
        <w:numPr>
          <w:ilvl w:val="1"/>
          <w:numId w:val="7"/>
        </w:numPr>
      </w:pPr>
      <w:r>
        <w:t xml:space="preserve">For actions that are outside the scope of the Register, </w:t>
      </w:r>
      <w:r w:rsidR="005522EC">
        <w:t xml:space="preserve">but are within the scope of sections 98C, 98D, and 98E of the </w:t>
      </w:r>
      <w:r w:rsidR="006E3B46">
        <w:t>Act</w:t>
      </w:r>
      <w:r w:rsidR="005522EC">
        <w:t xml:space="preserve">, </w:t>
      </w:r>
      <w:r>
        <w:t xml:space="preserve">notification obligations </w:t>
      </w:r>
      <w:r w:rsidR="005522EC">
        <w:t xml:space="preserve">will be </w:t>
      </w:r>
      <w:r w:rsidR="00873F75">
        <w:t>to the Treasurer.</w:t>
      </w:r>
    </w:p>
    <w:p w14:paraId="2B952011" w14:textId="225D0C57" w:rsidR="00873F75" w:rsidRDefault="00731D1C" w:rsidP="00AB271F">
      <w:pPr>
        <w:pStyle w:val="Bullet"/>
        <w:tabs>
          <w:tab w:val="num" w:pos="142"/>
        </w:tabs>
        <w:ind w:left="520" w:hanging="520"/>
      </w:pPr>
      <w:r>
        <w:t xml:space="preserve">In relation to </w:t>
      </w:r>
      <w:r w:rsidR="0019207C">
        <w:t xml:space="preserve">actions taken </w:t>
      </w:r>
      <w:r w:rsidR="00FA7714">
        <w:t>before</w:t>
      </w:r>
      <w:r w:rsidR="0019207C">
        <w:t xml:space="preserve"> 1 July 2023:</w:t>
      </w:r>
    </w:p>
    <w:p w14:paraId="6C47F9DB" w14:textId="705DF153" w:rsidR="00EB0AF9" w:rsidRDefault="00EB0AF9" w:rsidP="00EB0AF9">
      <w:pPr>
        <w:pStyle w:val="Bullet"/>
        <w:numPr>
          <w:ilvl w:val="1"/>
          <w:numId w:val="7"/>
        </w:numPr>
      </w:pPr>
      <w:r>
        <w:t xml:space="preserve">For situations that relate to actions that were previously reported to the Treasurer under sections 98C or 98D of the </w:t>
      </w:r>
      <w:r w:rsidR="00784193">
        <w:t>Act</w:t>
      </w:r>
      <w:r>
        <w:t xml:space="preserve">, reporting obligations to the Treasurer under section 98E of the </w:t>
      </w:r>
      <w:r w:rsidR="00A37369">
        <w:t>Act</w:t>
      </w:r>
      <w:r>
        <w:t xml:space="preserve"> will continue to exist, and no Register reporting obligations will arise (for example, if an earlier acquisition was reported to the Treasurer, a post-1 July 2023 disposal will also be reported to the Treasurer, not the </w:t>
      </w:r>
      <w:r w:rsidR="00F80F3D">
        <w:t>Registrar</w:t>
      </w:r>
      <w:r>
        <w:t>).</w:t>
      </w:r>
    </w:p>
    <w:p w14:paraId="48FD5B40" w14:textId="09010138" w:rsidR="00CC4F59" w:rsidRDefault="00B56E02" w:rsidP="00AB271F">
      <w:pPr>
        <w:pStyle w:val="Bullet"/>
        <w:numPr>
          <w:ilvl w:val="1"/>
          <w:numId w:val="7"/>
        </w:numPr>
      </w:pPr>
      <w:r>
        <w:t xml:space="preserve">If </w:t>
      </w:r>
      <w:r w:rsidR="00EA1F08">
        <w:t>a notification obligation arose</w:t>
      </w:r>
      <w:r w:rsidR="006D69B5" w:rsidRPr="006D69B5">
        <w:t xml:space="preserve"> </w:t>
      </w:r>
      <w:r w:rsidR="006D69B5">
        <w:t>before 1 July 2023</w:t>
      </w:r>
      <w:r w:rsidR="00EA1F08">
        <w:t xml:space="preserve"> </w:t>
      </w:r>
      <w:r w:rsidR="00C86972">
        <w:t>under section 98C or 98D of the Act</w:t>
      </w:r>
      <w:r w:rsidR="00D237F5">
        <w:t xml:space="preserve"> </w:t>
      </w:r>
      <w:r w:rsidR="00814D91">
        <w:t>in relation to an action</w:t>
      </w:r>
      <w:r w:rsidR="00121281">
        <w:t xml:space="preserve">, but </w:t>
      </w:r>
      <w:r w:rsidR="00B207B8">
        <w:t xml:space="preserve">no notification </w:t>
      </w:r>
      <w:r w:rsidR="00B374C7">
        <w:t xml:space="preserve">under any of sections 98C, 98D or 98E of the Act </w:t>
      </w:r>
      <w:r w:rsidR="00B207B8">
        <w:t>was given</w:t>
      </w:r>
      <w:r w:rsidR="00571A28">
        <w:t xml:space="preserve"> to the Treasurer</w:t>
      </w:r>
      <w:r w:rsidR="00870D18">
        <w:t xml:space="preserve"> before 1 July 2023</w:t>
      </w:r>
      <w:r w:rsidR="00EE36F8">
        <w:t>, then</w:t>
      </w:r>
      <w:r w:rsidR="00CC4F59">
        <w:t>:</w:t>
      </w:r>
    </w:p>
    <w:p w14:paraId="77CE81DA" w14:textId="532B10EF" w:rsidR="00B56E02" w:rsidRDefault="00B340D2" w:rsidP="00AB271F">
      <w:pPr>
        <w:pStyle w:val="Bullet"/>
        <w:numPr>
          <w:ilvl w:val="3"/>
          <w:numId w:val="7"/>
        </w:numPr>
      </w:pPr>
      <w:r>
        <w:t>i</w:t>
      </w:r>
      <w:r w:rsidR="00CC4F59">
        <w:t xml:space="preserve">f </w:t>
      </w:r>
      <w:r w:rsidR="00AB77BA">
        <w:t>the action is</w:t>
      </w:r>
      <w:r w:rsidR="00CC4F59">
        <w:t xml:space="preserve"> within </w:t>
      </w:r>
      <w:r w:rsidR="00C457B2">
        <w:t xml:space="preserve">the </w:t>
      </w:r>
      <w:r w:rsidR="00CC4F59">
        <w:t xml:space="preserve">scope of the </w:t>
      </w:r>
      <w:r w:rsidR="00085EC6">
        <w:t>Register</w:t>
      </w:r>
      <w:r w:rsidR="00CC4F59">
        <w:t xml:space="preserve">, </w:t>
      </w:r>
      <w:r w:rsidR="0090062D">
        <w:t>it</w:t>
      </w:r>
      <w:r w:rsidR="00B56E02">
        <w:t xml:space="preserve"> will need to be report</w:t>
      </w:r>
      <w:r w:rsidR="00CC4F59">
        <w:t xml:space="preserve">ed to the </w:t>
      </w:r>
      <w:r w:rsidR="00EC537D">
        <w:t>Registrar</w:t>
      </w:r>
      <w:r w:rsidR="00EC537D" w:rsidDel="00EC537D">
        <w:t xml:space="preserve"> </w:t>
      </w:r>
      <w:r w:rsidR="00C457B2">
        <w:t xml:space="preserve">within </w:t>
      </w:r>
      <w:r w:rsidR="009B3184">
        <w:t xml:space="preserve">30 days of 1 July 2023. </w:t>
      </w:r>
    </w:p>
    <w:p w14:paraId="167440F3" w14:textId="5EFFFAA8" w:rsidR="00CC4F59" w:rsidRDefault="00B340D2" w:rsidP="00AB271F">
      <w:pPr>
        <w:pStyle w:val="Bullet"/>
        <w:numPr>
          <w:ilvl w:val="3"/>
          <w:numId w:val="7"/>
        </w:numPr>
      </w:pPr>
      <w:r>
        <w:t>i</w:t>
      </w:r>
      <w:r w:rsidR="00CC4F59">
        <w:t xml:space="preserve">f </w:t>
      </w:r>
      <w:r w:rsidR="0090062D">
        <w:t>the action</w:t>
      </w:r>
      <w:r w:rsidR="00CC4F59">
        <w:t xml:space="preserve"> </w:t>
      </w:r>
      <w:r w:rsidR="0090062D">
        <w:t xml:space="preserve">is </w:t>
      </w:r>
      <w:r w:rsidR="00CC4F59">
        <w:t xml:space="preserve">not within </w:t>
      </w:r>
      <w:r w:rsidR="00C457B2">
        <w:t xml:space="preserve">the </w:t>
      </w:r>
      <w:r w:rsidR="00CC4F59">
        <w:t xml:space="preserve">scope of the </w:t>
      </w:r>
      <w:r w:rsidR="00D63A7E">
        <w:t>Register</w:t>
      </w:r>
      <w:r w:rsidR="00CC4F59">
        <w:t xml:space="preserve">, </w:t>
      </w:r>
      <w:r w:rsidR="0090062D">
        <w:t>it</w:t>
      </w:r>
      <w:r w:rsidR="00CC4F59">
        <w:t xml:space="preserve"> will need to be reported to the Treasurer under sectio</w:t>
      </w:r>
      <w:r w:rsidR="00571BFE">
        <w:t>n</w:t>
      </w:r>
      <w:r w:rsidR="00CC4F59">
        <w:t xml:space="preserve"> 98C</w:t>
      </w:r>
      <w:r w:rsidR="00747E6E">
        <w:t xml:space="preserve"> or</w:t>
      </w:r>
      <w:r w:rsidR="00CC4F59">
        <w:t xml:space="preserve"> 98D</w:t>
      </w:r>
      <w:r w:rsidR="006345F9">
        <w:t xml:space="preserve"> </w:t>
      </w:r>
      <w:r w:rsidR="00CC4F59">
        <w:t xml:space="preserve">of the </w:t>
      </w:r>
      <w:r w:rsidR="008B35CD">
        <w:t>Act</w:t>
      </w:r>
      <w:r w:rsidR="0000526F">
        <w:t xml:space="preserve"> (and further situations reported under section 98E of the Act as required).</w:t>
      </w:r>
    </w:p>
    <w:p w14:paraId="0FF77971" w14:textId="3635872D" w:rsidR="008D20CA" w:rsidRDefault="00231C86" w:rsidP="00BB6E71">
      <w:pPr>
        <w:pStyle w:val="Bullet"/>
      </w:pPr>
      <w:r>
        <w:t xml:space="preserve">Existing </w:t>
      </w:r>
      <w:r w:rsidR="00C512E8">
        <w:t>r</w:t>
      </w:r>
      <w:r w:rsidR="00C67F17">
        <w:t xml:space="preserve">egistrations on the </w:t>
      </w:r>
      <w:r w:rsidR="00720804">
        <w:t>superseded registers</w:t>
      </w:r>
      <w:r w:rsidR="007613C2">
        <w:t xml:space="preserve"> (see section A below)</w:t>
      </w:r>
      <w:r w:rsidR="00720804">
        <w:t xml:space="preserve"> will be transferred to the </w:t>
      </w:r>
      <w:r>
        <w:t>Register</w:t>
      </w:r>
      <w:r w:rsidR="00720804">
        <w:t xml:space="preserve"> and</w:t>
      </w:r>
      <w:r w:rsidR="00E92BE2">
        <w:t xml:space="preserve"> when</w:t>
      </w:r>
      <w:r w:rsidR="00720804">
        <w:t xml:space="preserve"> follow</w:t>
      </w:r>
      <w:r>
        <w:t>-</w:t>
      </w:r>
      <w:r w:rsidR="00720804">
        <w:t xml:space="preserve">up </w:t>
      </w:r>
      <w:r>
        <w:t>notification</w:t>
      </w:r>
      <w:r w:rsidR="00720804">
        <w:t xml:space="preserve"> obligations </w:t>
      </w:r>
      <w:r w:rsidR="00E92BE2">
        <w:t>arise</w:t>
      </w:r>
      <w:r>
        <w:t>,</w:t>
      </w:r>
      <w:r w:rsidR="00E92BE2">
        <w:t xml:space="preserve"> they </w:t>
      </w:r>
      <w:r w:rsidR="00720804">
        <w:t xml:space="preserve">will be to the </w:t>
      </w:r>
      <w:r w:rsidR="00B33997">
        <w:t>Registrar</w:t>
      </w:r>
      <w:r w:rsidR="00720804">
        <w:t>.</w:t>
      </w:r>
    </w:p>
    <w:p w14:paraId="0852FF7A" w14:textId="77777777" w:rsidR="00647471" w:rsidRDefault="00647471">
      <w:pPr>
        <w:spacing w:before="0" w:after="0"/>
        <w:rPr>
          <w:rFonts w:ascii="Calibri" w:hAnsi="Calibri" w:cs="Arial"/>
          <w:iCs/>
          <w:color w:val="2C384A"/>
          <w:kern w:val="32"/>
          <w:sz w:val="36"/>
          <w:szCs w:val="28"/>
        </w:rPr>
      </w:pPr>
      <w:r>
        <w:br w:type="page"/>
      </w:r>
    </w:p>
    <w:p w14:paraId="14EDD5B3" w14:textId="4385802E" w:rsidR="00B15642" w:rsidRDefault="00B54403" w:rsidP="00B15642">
      <w:pPr>
        <w:pStyle w:val="Heading2"/>
      </w:pPr>
      <w:r>
        <w:lastRenderedPageBreak/>
        <w:t>A</w:t>
      </w:r>
      <w:r w:rsidR="00B15642" w:rsidRPr="008A56BD">
        <w:t xml:space="preserve">: </w:t>
      </w:r>
      <w:r w:rsidR="00067E31">
        <w:t xml:space="preserve">Replaced </w:t>
      </w:r>
      <w:r>
        <w:t>registers</w:t>
      </w:r>
    </w:p>
    <w:p w14:paraId="243DC940" w14:textId="739339FA" w:rsidR="00DF2AFD" w:rsidRPr="007B4365" w:rsidRDefault="00DF2AFD" w:rsidP="00DF2AFD">
      <w:r w:rsidRPr="007B4365">
        <w:t xml:space="preserve">The Register will </w:t>
      </w:r>
      <w:r w:rsidR="009C547C">
        <w:t>replace</w:t>
      </w:r>
      <w:r w:rsidRPr="007B4365">
        <w:t>:</w:t>
      </w:r>
    </w:p>
    <w:p w14:paraId="715E5B0A" w14:textId="26ED1E1A" w:rsidR="00DF2AFD" w:rsidRPr="007B4365" w:rsidRDefault="00DF2AFD" w:rsidP="00DF2AFD">
      <w:pPr>
        <w:numPr>
          <w:ilvl w:val="0"/>
          <w:numId w:val="13"/>
        </w:numPr>
      </w:pPr>
      <w:r w:rsidRPr="007B4365">
        <w:t>the Register of Foreign Ownership of Residential Land</w:t>
      </w:r>
      <w:r w:rsidR="007A6225">
        <w:t xml:space="preserve"> (the </w:t>
      </w:r>
      <w:r w:rsidR="007A6225" w:rsidRPr="00831F3D">
        <w:rPr>
          <w:b/>
          <w:bCs/>
        </w:rPr>
        <w:t>Residential Land Register</w:t>
      </w:r>
      <w:r w:rsidR="007A6225">
        <w:t>)</w:t>
      </w:r>
      <w:r w:rsidRPr="007B4365">
        <w:t>; and</w:t>
      </w:r>
    </w:p>
    <w:p w14:paraId="4BD770B7" w14:textId="2DC2C2F9" w:rsidR="00DF2AFD" w:rsidRPr="007B4365" w:rsidRDefault="00DF2AFD" w:rsidP="00DF2AFD">
      <w:pPr>
        <w:numPr>
          <w:ilvl w:val="0"/>
          <w:numId w:val="13"/>
        </w:numPr>
      </w:pPr>
      <w:r w:rsidRPr="007B4365">
        <w:t>the Register of Foreign Ownership of Agricultural Land</w:t>
      </w:r>
      <w:r w:rsidR="006E634F">
        <w:t xml:space="preserve"> (the </w:t>
      </w:r>
      <w:r w:rsidR="006E634F" w:rsidRPr="00831F3D">
        <w:rPr>
          <w:b/>
          <w:bCs/>
        </w:rPr>
        <w:t>Agricultural Land Register</w:t>
      </w:r>
      <w:r w:rsidR="006E634F">
        <w:t>)</w:t>
      </w:r>
      <w:r w:rsidRPr="007B4365">
        <w:t>; and</w:t>
      </w:r>
    </w:p>
    <w:p w14:paraId="230BED7B" w14:textId="09BBB1DE" w:rsidR="007B4365" w:rsidRPr="007B4365" w:rsidRDefault="00DF2AFD" w:rsidP="00DF2AFD">
      <w:pPr>
        <w:numPr>
          <w:ilvl w:val="0"/>
          <w:numId w:val="13"/>
        </w:numPr>
      </w:pPr>
      <w:r w:rsidRPr="007B4365">
        <w:t>the Register of Foreign Ownership of Water Entitlements</w:t>
      </w:r>
      <w:r w:rsidR="006E634F">
        <w:t xml:space="preserve"> (the </w:t>
      </w:r>
      <w:r w:rsidR="006E634F" w:rsidRPr="00831F3D">
        <w:rPr>
          <w:b/>
          <w:bCs/>
        </w:rPr>
        <w:t>Water Entitlements Register</w:t>
      </w:r>
      <w:r w:rsidR="006E634F">
        <w:t>)</w:t>
      </w:r>
      <w:r w:rsidRPr="007B4365">
        <w:t>.</w:t>
      </w:r>
    </w:p>
    <w:p w14:paraId="6987AD8F" w14:textId="722420C8" w:rsidR="002015E8" w:rsidRPr="008A56BD" w:rsidRDefault="00CF62CD" w:rsidP="002015E8">
      <w:pPr>
        <w:pStyle w:val="Heading2"/>
      </w:pPr>
      <w:r>
        <w:t>B</w:t>
      </w:r>
      <w:r w:rsidR="002015E8" w:rsidRPr="008A56BD">
        <w:t xml:space="preserve">: </w:t>
      </w:r>
      <w:r w:rsidR="00714559">
        <w:t xml:space="preserve">Interests </w:t>
      </w:r>
      <w:r w:rsidR="00994652">
        <w:t xml:space="preserve">required to be </w:t>
      </w:r>
      <w:r w:rsidR="00714559">
        <w:t xml:space="preserve">notified to </w:t>
      </w:r>
      <w:r w:rsidR="008E5751">
        <w:t>R</w:t>
      </w:r>
      <w:r w:rsidR="00714559">
        <w:t xml:space="preserve">egistrar of </w:t>
      </w:r>
      <w:r w:rsidR="007B340E">
        <w:t xml:space="preserve">replaced </w:t>
      </w:r>
      <w:r w:rsidR="00714559">
        <w:t>register</w:t>
      </w:r>
    </w:p>
    <w:p w14:paraId="5E324D93" w14:textId="63C1F0B3" w:rsidR="00494943" w:rsidRPr="008A56BD" w:rsidRDefault="001F17F0" w:rsidP="00E838B7">
      <w:pPr>
        <w:pStyle w:val="Heading3"/>
        <w:spacing w:before="0"/>
        <w:jc w:val="both"/>
      </w:pPr>
      <w:r>
        <w:t>Residential Land Register</w:t>
      </w:r>
    </w:p>
    <w:p w14:paraId="1AE8E813" w14:textId="307E7B49" w:rsidR="0098640A" w:rsidRDefault="00542CA3" w:rsidP="00436009">
      <w:r w:rsidRPr="00F87683">
        <w:t>The ATO administers the R</w:t>
      </w:r>
      <w:r w:rsidR="003728CB">
        <w:t>esidential Land Register.</w:t>
      </w:r>
      <w:r w:rsidR="00E85623" w:rsidRPr="00F87683">
        <w:rPr>
          <w:vertAlign w:val="superscript"/>
        </w:rPr>
        <w:footnoteReference w:id="2"/>
      </w:r>
    </w:p>
    <w:p w14:paraId="460DB4CE" w14:textId="7BC65667" w:rsidR="0076173A" w:rsidRDefault="0076173A" w:rsidP="00436009">
      <w:r>
        <w:t xml:space="preserve">From 1 July 2023, acquisitions of residential land within the scope of the Register must be reported to the Registrar. </w:t>
      </w:r>
    </w:p>
    <w:p w14:paraId="1D370029" w14:textId="50C798D1" w:rsidR="0098640A" w:rsidRDefault="00CA4C22" w:rsidP="00436009">
      <w:r>
        <w:t>Transitional rules</w:t>
      </w:r>
      <w:r w:rsidR="00EA3A79">
        <w:t>, which will be made before 1 July 2024,</w:t>
      </w:r>
      <w:r>
        <w:t xml:space="preserve"> are expected to provide:</w:t>
      </w:r>
    </w:p>
    <w:p w14:paraId="631EAA01" w14:textId="2A29E41C" w:rsidR="001D711A" w:rsidRDefault="00004952" w:rsidP="00CD7A5E">
      <w:pPr>
        <w:pStyle w:val="ListParagraph"/>
        <w:numPr>
          <w:ilvl w:val="0"/>
          <w:numId w:val="15"/>
        </w:numPr>
        <w:ind w:hanging="720"/>
      </w:pPr>
      <w:r>
        <w:t xml:space="preserve">for the </w:t>
      </w:r>
      <w:r w:rsidR="00C2129A">
        <w:t>transfer of information</w:t>
      </w:r>
      <w:r>
        <w:t xml:space="preserve"> </w:t>
      </w:r>
      <w:r w:rsidR="00426C9A">
        <w:t xml:space="preserve">relating to interests registered </w:t>
      </w:r>
      <w:r w:rsidR="007230AB">
        <w:t>on</w:t>
      </w:r>
      <w:r w:rsidR="00642761">
        <w:t xml:space="preserve"> the Residential Land Register </w:t>
      </w:r>
      <w:r w:rsidR="00D37331">
        <w:t>to</w:t>
      </w:r>
      <w:r w:rsidR="00642761">
        <w:t xml:space="preserve"> the Register; </w:t>
      </w:r>
      <w:r w:rsidR="005A5598">
        <w:t>and</w:t>
      </w:r>
    </w:p>
    <w:p w14:paraId="33020956" w14:textId="742130B3" w:rsidR="00642761" w:rsidRDefault="00642761" w:rsidP="00CD7A5E">
      <w:pPr>
        <w:pStyle w:val="ListParagraph"/>
        <w:numPr>
          <w:ilvl w:val="0"/>
          <w:numId w:val="15"/>
        </w:numPr>
        <w:ind w:hanging="720"/>
      </w:pPr>
      <w:r>
        <w:t xml:space="preserve">for </w:t>
      </w:r>
      <w:r w:rsidR="006B0457">
        <w:t xml:space="preserve">registered circumstances to exist in relation to </w:t>
      </w:r>
      <w:r w:rsidR="00686A6D">
        <w:t xml:space="preserve">persons who </w:t>
      </w:r>
      <w:r w:rsidR="005A5598">
        <w:t>have previously registered an interest on the Residential Land Register.</w:t>
      </w:r>
    </w:p>
    <w:p w14:paraId="3DAB957B" w14:textId="3CA868F8" w:rsidR="00FD3BC0" w:rsidRDefault="006E75A0" w:rsidP="00436009">
      <w:r>
        <w:t xml:space="preserve">These transitional rules will be published on the Federal Register of Legislation. </w:t>
      </w:r>
    </w:p>
    <w:p w14:paraId="364E4A20" w14:textId="290A922B" w:rsidR="00BA7B6A" w:rsidRPr="008A56BD" w:rsidRDefault="001F17F0" w:rsidP="00CD7A5E">
      <w:pPr>
        <w:pStyle w:val="Heading3"/>
        <w:spacing w:before="0"/>
      </w:pPr>
      <w:r>
        <w:t>Agricultural Land Register and Water Entitlements Register</w:t>
      </w:r>
    </w:p>
    <w:p w14:paraId="50850BFF" w14:textId="77777777" w:rsidR="006E555D" w:rsidRDefault="00741BB7" w:rsidP="00BA7B6A">
      <w:pPr>
        <w:rPr>
          <w:lang w:val="en"/>
        </w:rPr>
      </w:pPr>
      <w:r w:rsidRPr="00741BB7">
        <w:rPr>
          <w:lang w:val="en"/>
        </w:rPr>
        <w:t xml:space="preserve">The ATO administers the </w:t>
      </w:r>
      <w:r w:rsidR="00172F7E">
        <w:rPr>
          <w:lang w:val="en"/>
        </w:rPr>
        <w:t>Agricultural Land Register and the Water Entitlements Register</w:t>
      </w:r>
      <w:r w:rsidRPr="00741BB7">
        <w:rPr>
          <w:lang w:val="en"/>
        </w:rPr>
        <w:t xml:space="preserve">. </w:t>
      </w:r>
    </w:p>
    <w:p w14:paraId="747E8643" w14:textId="77777777" w:rsidR="00BA7B6A" w:rsidRDefault="00555276" w:rsidP="00BA7B6A">
      <w:pPr>
        <w:rPr>
          <w:lang w:val="en"/>
        </w:rPr>
      </w:pPr>
      <w:r w:rsidRPr="3A28541E">
        <w:rPr>
          <w:lang w:val="en"/>
        </w:rPr>
        <w:t xml:space="preserve">Interests registered on </w:t>
      </w:r>
      <w:r w:rsidR="009D4170" w:rsidRPr="3A28541E">
        <w:rPr>
          <w:lang w:val="en"/>
        </w:rPr>
        <w:t>either t</w:t>
      </w:r>
      <w:r w:rsidR="00741BB7" w:rsidRPr="3A28541E">
        <w:rPr>
          <w:lang w:val="en"/>
        </w:rPr>
        <w:t>he Agricultural Land Register or the Water Entitlements Register (usually through a form on the ATO website)</w:t>
      </w:r>
      <w:r w:rsidR="0020559F" w:rsidRPr="3A28541E">
        <w:rPr>
          <w:lang w:val="en"/>
        </w:rPr>
        <w:t xml:space="preserve"> </w:t>
      </w:r>
      <w:r w:rsidR="00741BB7" w:rsidRPr="3A28541E">
        <w:rPr>
          <w:lang w:val="en"/>
        </w:rPr>
        <w:t xml:space="preserve">will be transferred to the Register. </w:t>
      </w:r>
      <w:r w:rsidR="001247BF" w:rsidRPr="3A28541E">
        <w:rPr>
          <w:lang w:val="en"/>
        </w:rPr>
        <w:t xml:space="preserve">Ongoing </w:t>
      </w:r>
      <w:r w:rsidR="00CC7437" w:rsidRPr="3A28541E">
        <w:rPr>
          <w:lang w:val="en"/>
        </w:rPr>
        <w:t>n</w:t>
      </w:r>
      <w:r w:rsidR="00825F31" w:rsidRPr="3A28541E">
        <w:rPr>
          <w:lang w:val="en"/>
        </w:rPr>
        <w:t>otification</w:t>
      </w:r>
      <w:r w:rsidR="00CC7437" w:rsidRPr="3A28541E">
        <w:rPr>
          <w:lang w:val="en"/>
        </w:rPr>
        <w:t xml:space="preserve"> </w:t>
      </w:r>
      <w:r w:rsidR="001247BF" w:rsidRPr="3A28541E">
        <w:rPr>
          <w:lang w:val="en"/>
        </w:rPr>
        <w:t xml:space="preserve">obligations will be to the </w:t>
      </w:r>
      <w:r w:rsidR="009350C6" w:rsidRPr="3A28541E">
        <w:rPr>
          <w:lang w:val="en"/>
        </w:rPr>
        <w:t>Registrar</w:t>
      </w:r>
      <w:r w:rsidR="00560C19" w:rsidRPr="3A28541E">
        <w:rPr>
          <w:lang w:val="en"/>
        </w:rPr>
        <w:t>.</w:t>
      </w:r>
    </w:p>
    <w:p w14:paraId="0474D0CD" w14:textId="23CFC9E9" w:rsidR="0015229C" w:rsidRDefault="0015229C" w:rsidP="00BA7B6A">
      <w:pPr>
        <w:rPr>
          <w:lang w:val="en"/>
        </w:rPr>
      </w:pPr>
      <w:r>
        <w:t xml:space="preserve">If you have registered or will register an interest on the </w:t>
      </w:r>
      <w:r w:rsidR="0024730A">
        <w:t>Agricultural</w:t>
      </w:r>
      <w:r>
        <w:t xml:space="preserve"> Land Register </w:t>
      </w:r>
      <w:r w:rsidR="00802B4C" w:rsidRPr="00741BB7">
        <w:rPr>
          <w:lang w:val="en"/>
        </w:rPr>
        <w:t xml:space="preserve">or the Water Entitlements Register </w:t>
      </w:r>
      <w:r>
        <w:t xml:space="preserve">prior to 1 July 2023, you will have obligations to the </w:t>
      </w:r>
      <w:r>
        <w:rPr>
          <w:lang w:val="en"/>
        </w:rPr>
        <w:t xml:space="preserve">Registrar </w:t>
      </w:r>
      <w:r>
        <w:t>after that date</w:t>
      </w:r>
      <w:r w:rsidR="004E1821">
        <w:t xml:space="preserve"> (because of the creation of a registered circumstance).</w:t>
      </w:r>
      <w:r w:rsidR="002A6D29">
        <w:rPr>
          <w:rStyle w:val="FootnoteReference"/>
        </w:rPr>
        <w:footnoteReference w:id="3"/>
      </w:r>
    </w:p>
    <w:p w14:paraId="740366DB" w14:textId="6C55C3E3" w:rsidR="00B957FE" w:rsidRPr="0028054E" w:rsidRDefault="00B957FE" w:rsidP="00B957FE">
      <w:pPr>
        <w:rPr>
          <w:lang w:val="en"/>
        </w:rPr>
      </w:pPr>
      <w:r w:rsidRPr="0028054E">
        <w:rPr>
          <w:lang w:val="en"/>
        </w:rPr>
        <w:t xml:space="preserve">If you </w:t>
      </w:r>
      <w:r w:rsidR="0041144A">
        <w:rPr>
          <w:lang w:val="en"/>
        </w:rPr>
        <w:t>were</w:t>
      </w:r>
      <w:r w:rsidRPr="0028054E">
        <w:rPr>
          <w:lang w:val="en"/>
        </w:rPr>
        <w:t xml:space="preserve"> required to register an interest on either the Agricultural Land Register or the Water Entitlements Register </w:t>
      </w:r>
      <w:r w:rsidR="00CD0C7F">
        <w:rPr>
          <w:lang w:val="en"/>
        </w:rPr>
        <w:t>prior to</w:t>
      </w:r>
      <w:r w:rsidRPr="0028054E">
        <w:rPr>
          <w:lang w:val="en"/>
        </w:rPr>
        <w:t xml:space="preserve"> 1 July 2023</w:t>
      </w:r>
      <w:r w:rsidR="00D06616">
        <w:rPr>
          <w:lang w:val="en"/>
        </w:rPr>
        <w:t xml:space="preserve"> but </w:t>
      </w:r>
      <w:r w:rsidR="008A65F6">
        <w:t xml:space="preserve">did </w:t>
      </w:r>
      <w:r w:rsidR="00D06616">
        <w:rPr>
          <w:lang w:val="en"/>
        </w:rPr>
        <w:t>not do so</w:t>
      </w:r>
      <w:r w:rsidRPr="0028054E">
        <w:rPr>
          <w:lang w:val="en"/>
        </w:rPr>
        <w:t xml:space="preserve">, you will be required to give a register notice to the </w:t>
      </w:r>
      <w:r w:rsidR="00AA3C1B">
        <w:rPr>
          <w:lang w:val="en"/>
        </w:rPr>
        <w:t xml:space="preserve">Registrar </w:t>
      </w:r>
      <w:r w:rsidRPr="0028054E">
        <w:rPr>
          <w:lang w:val="en"/>
        </w:rPr>
        <w:t>within 30 days of 1 July 2023.</w:t>
      </w:r>
      <w:r w:rsidR="00E85752">
        <w:rPr>
          <w:rStyle w:val="FootnoteReference"/>
          <w:lang w:val="en"/>
        </w:rPr>
        <w:footnoteReference w:id="4"/>
      </w:r>
    </w:p>
    <w:p w14:paraId="5BF22061" w14:textId="3B648EAF" w:rsidR="00C25FF1" w:rsidRPr="008A56BD" w:rsidRDefault="00AC0396" w:rsidP="00C25FF1">
      <w:pPr>
        <w:pStyle w:val="Heading2"/>
      </w:pPr>
      <w:r>
        <w:lastRenderedPageBreak/>
        <w:t>C</w:t>
      </w:r>
      <w:r w:rsidR="00C25FF1" w:rsidRPr="008A56BD">
        <w:t xml:space="preserve">: </w:t>
      </w:r>
      <w:r w:rsidR="00652F1B">
        <w:t xml:space="preserve">Notification obligations under sections 98C, 98D, and 98E of </w:t>
      </w:r>
      <w:r w:rsidR="00D2672D">
        <w:t>the Act</w:t>
      </w:r>
      <w:r w:rsidR="00B36A41">
        <w:t xml:space="preserve"> </w:t>
      </w:r>
    </w:p>
    <w:p w14:paraId="67B40FED" w14:textId="4325DAA3" w:rsidR="00761F6C" w:rsidRDefault="00160608" w:rsidP="00160608">
      <w:pPr>
        <w:pStyle w:val="Heading3"/>
        <w:spacing w:before="0"/>
      </w:pPr>
      <w:r>
        <w:t>Continuing other notification requirements for situations relating to core Part 3 actions taken before 1 July 2023</w:t>
      </w:r>
    </w:p>
    <w:p w14:paraId="513E4AEB" w14:textId="77777777" w:rsidR="00433D51" w:rsidRDefault="00433D51" w:rsidP="00433D51">
      <w:r>
        <w:t>If you:</w:t>
      </w:r>
    </w:p>
    <w:p w14:paraId="5DCCEEA4" w14:textId="77777777" w:rsidR="00433D51" w:rsidRDefault="00433D51" w:rsidP="00433D51">
      <w:pPr>
        <w:pStyle w:val="Bullet"/>
      </w:pPr>
      <w:r>
        <w:t>received a no objection notification or exemption certificate which specifies a core Part 3 action</w:t>
      </w:r>
      <w:r>
        <w:rPr>
          <w:rStyle w:val="FootnoteReference"/>
        </w:rPr>
        <w:footnoteReference w:id="5"/>
      </w:r>
      <w:r>
        <w:t xml:space="preserve"> on or after 1 January 2021 but before 1 July 2023, and</w:t>
      </w:r>
    </w:p>
    <w:p w14:paraId="19EBEF2F" w14:textId="77777777" w:rsidR="00433D51" w:rsidRDefault="00433D51" w:rsidP="00433D51">
      <w:pPr>
        <w:pStyle w:val="Bullet"/>
      </w:pPr>
      <w:r>
        <w:t>took the action before 1 July 2023, and</w:t>
      </w:r>
    </w:p>
    <w:p w14:paraId="0B439D3E" w14:textId="77777777" w:rsidR="00433D51" w:rsidRDefault="00433D51" w:rsidP="00433D51">
      <w:pPr>
        <w:pStyle w:val="Bullet"/>
      </w:pPr>
      <w:r>
        <w:t>notify the Treasurer before 1 July 2023:</w:t>
      </w:r>
    </w:p>
    <w:p w14:paraId="3BF40BB8" w14:textId="77777777" w:rsidR="00433D51" w:rsidRDefault="00433D51" w:rsidP="00433D51">
      <w:pPr>
        <w:pStyle w:val="Bullet"/>
        <w:numPr>
          <w:ilvl w:val="1"/>
          <w:numId w:val="7"/>
        </w:numPr>
      </w:pPr>
      <w:r>
        <w:t>that you have taken the action in accordance with subsections 98</w:t>
      </w:r>
      <w:proofErr w:type="gramStart"/>
      <w:r>
        <w:t>C(</w:t>
      </w:r>
      <w:proofErr w:type="gramEnd"/>
      <w:r>
        <w:t>2) or 98D(2) of the Act, and/or</w:t>
      </w:r>
    </w:p>
    <w:p w14:paraId="1C727487" w14:textId="77777777" w:rsidR="00433D51" w:rsidRDefault="00433D51" w:rsidP="00433D51">
      <w:pPr>
        <w:pStyle w:val="Bullet"/>
        <w:numPr>
          <w:ilvl w:val="1"/>
          <w:numId w:val="7"/>
        </w:numPr>
      </w:pPr>
      <w:r>
        <w:t>of a situation arising in relation to the action which results in you no longer holding any part of the relevant interest, under subsection 98</w:t>
      </w:r>
      <w:proofErr w:type="gramStart"/>
      <w:r>
        <w:t>E(</w:t>
      </w:r>
      <w:proofErr w:type="gramEnd"/>
      <w:r>
        <w:t>3) of the Act,</w:t>
      </w:r>
    </w:p>
    <w:p w14:paraId="6DED1AFC" w14:textId="77777777" w:rsidR="00433D51" w:rsidRDefault="00433D51" w:rsidP="00433D51">
      <w:r>
        <w:t>then you are not required to give a register notice.</w:t>
      </w:r>
      <w:r>
        <w:rPr>
          <w:rStyle w:val="FootnoteReference"/>
        </w:rPr>
        <w:footnoteReference w:id="6"/>
      </w:r>
      <w:r>
        <w:t xml:space="preserve"> You must still give a notice to the Treasurer when a situation mentioned in subsection 98E(2) of the Act arises if you have not already done so—for example, when you cease to have a direct interest in an Australian entity (where applicable).</w:t>
      </w:r>
      <w:r>
        <w:rPr>
          <w:rStyle w:val="FootnoteReference"/>
        </w:rPr>
        <w:footnoteReference w:id="7"/>
      </w:r>
      <w:r>
        <w:t xml:space="preserve"> For instructions on how to give a notice under sections 98C, 98D or 98E of the Act, go to the </w:t>
      </w:r>
      <w:hyperlink r:id="rId11" w:history="1">
        <w:r w:rsidRPr="000E6E62">
          <w:rPr>
            <w:rStyle w:val="Hyperlink"/>
          </w:rPr>
          <w:t>Foreign Investment website</w:t>
        </w:r>
      </w:hyperlink>
      <w:r>
        <w:t xml:space="preserve">. </w:t>
      </w:r>
    </w:p>
    <w:p w14:paraId="5D3473F4" w14:textId="4CF1D655" w:rsidR="007E55A7" w:rsidRPr="00970E40" w:rsidRDefault="007E55A7" w:rsidP="00372A0D"/>
    <w:p w14:paraId="7966275E" w14:textId="77777777" w:rsidR="00C3405B" w:rsidRDefault="00C3405B">
      <w:pPr>
        <w:spacing w:before="0" w:after="0"/>
        <w:rPr>
          <w:rFonts w:ascii="Calibri" w:hAnsi="Calibri" w:cs="Arial"/>
          <w:b/>
          <w:color w:val="4D7861" w:themeColor="accent2"/>
          <w:kern w:val="32"/>
          <w:sz w:val="28"/>
          <w:szCs w:val="26"/>
        </w:rPr>
      </w:pPr>
      <w:r>
        <w:br w:type="page"/>
      </w:r>
    </w:p>
    <w:p w14:paraId="2A5E598A" w14:textId="2826F3DD" w:rsidR="00851867" w:rsidRDefault="004C39C4" w:rsidP="00851867">
      <w:pPr>
        <w:pStyle w:val="Heading3"/>
        <w:spacing w:before="0"/>
      </w:pPr>
      <w:r>
        <w:lastRenderedPageBreak/>
        <w:t xml:space="preserve">Register requirements for certain </w:t>
      </w:r>
      <w:r w:rsidR="00851867">
        <w:t>core Part 3 actions taken before 1 July 2023</w:t>
      </w:r>
    </w:p>
    <w:p w14:paraId="009DC839" w14:textId="6A4B5BCF" w:rsidR="00851867" w:rsidRDefault="00851867" w:rsidP="00851867">
      <w:r>
        <w:t>If:</w:t>
      </w:r>
    </w:p>
    <w:p w14:paraId="307931CB" w14:textId="3DA37E98" w:rsidR="002055FA" w:rsidRDefault="0030274C" w:rsidP="002055FA">
      <w:pPr>
        <w:pStyle w:val="Bullet"/>
      </w:pPr>
      <w:r>
        <w:t xml:space="preserve">you </w:t>
      </w:r>
      <w:r w:rsidR="002055FA">
        <w:t xml:space="preserve">received a no objection notification or exemption certificate </w:t>
      </w:r>
      <w:r w:rsidR="00B66CAC">
        <w:t xml:space="preserve">that relates to </w:t>
      </w:r>
      <w:r w:rsidR="0040670A">
        <w:t>a</w:t>
      </w:r>
      <w:r w:rsidR="002055FA">
        <w:t xml:space="preserve"> core Part 3 action on or after 1 January 2021 but before 1 July 2023, and</w:t>
      </w:r>
    </w:p>
    <w:p w14:paraId="21F61085" w14:textId="1378B1E2" w:rsidR="00B41276" w:rsidRDefault="00B41276" w:rsidP="002055FA">
      <w:pPr>
        <w:pStyle w:val="Bullet"/>
      </w:pPr>
      <w:r>
        <w:t xml:space="preserve">you took </w:t>
      </w:r>
      <w:r w:rsidR="0040670A">
        <w:t>the</w:t>
      </w:r>
      <w:r>
        <w:t xml:space="preserve"> action before 1 July 2023</w:t>
      </w:r>
      <w:r w:rsidR="0040670A">
        <w:t>, and</w:t>
      </w:r>
    </w:p>
    <w:p w14:paraId="33BA6A15" w14:textId="443C6050" w:rsidR="0040670A" w:rsidRDefault="007A6C36" w:rsidP="002055FA">
      <w:pPr>
        <w:pStyle w:val="Bullet"/>
      </w:pPr>
      <w:r>
        <w:t xml:space="preserve">you would be required to give a register notice in relation to the action if the action were taken </w:t>
      </w:r>
      <w:r w:rsidR="00A53668">
        <w:t xml:space="preserve">from </w:t>
      </w:r>
      <w:r>
        <w:t>1 July 2023</w:t>
      </w:r>
      <w:r w:rsidR="00DD12F8">
        <w:t>, and</w:t>
      </w:r>
    </w:p>
    <w:p w14:paraId="400089B7" w14:textId="5B47C7C2" w:rsidR="00DD12F8" w:rsidRDefault="00575EF2" w:rsidP="002055FA">
      <w:pPr>
        <w:pStyle w:val="Bullet"/>
      </w:pPr>
      <w:r>
        <w:t xml:space="preserve">the 30-day period within which you were required to </w:t>
      </w:r>
      <w:r w:rsidR="003F6422">
        <w:t xml:space="preserve">notify the Treasurer that you </w:t>
      </w:r>
      <w:r w:rsidR="003C3157">
        <w:t xml:space="preserve">had </w:t>
      </w:r>
      <w:r w:rsidR="003F6422">
        <w:t>taken the action in accordance with subsection 98</w:t>
      </w:r>
      <w:proofErr w:type="gramStart"/>
      <w:r w:rsidR="003F6422">
        <w:t>C(</w:t>
      </w:r>
      <w:proofErr w:type="gramEnd"/>
      <w:r w:rsidR="003F6422">
        <w:t xml:space="preserve">2) or 98D(2) of the Act </w:t>
      </w:r>
      <w:r w:rsidR="00933317">
        <w:t>started before 1 July 2023, and</w:t>
      </w:r>
    </w:p>
    <w:p w14:paraId="643997EB" w14:textId="77777777" w:rsidR="00EE465D" w:rsidRDefault="00E63184">
      <w:pPr>
        <w:pStyle w:val="Bullet"/>
      </w:pPr>
      <w:r>
        <w:t xml:space="preserve">you do not </w:t>
      </w:r>
      <w:r w:rsidR="00FB4C69">
        <w:t>notify the Treasurer</w:t>
      </w:r>
      <w:r w:rsidR="00EE465D">
        <w:t xml:space="preserve"> before 1 July 2023:</w:t>
      </w:r>
    </w:p>
    <w:p w14:paraId="3352C113" w14:textId="1FEFC3E3" w:rsidR="00C4779B" w:rsidRDefault="00FB4C69" w:rsidP="00EE465D">
      <w:pPr>
        <w:pStyle w:val="Bullet"/>
        <w:numPr>
          <w:ilvl w:val="1"/>
          <w:numId w:val="7"/>
        </w:numPr>
      </w:pPr>
      <w:r>
        <w:t>that you have taken the action in accordance with subsection</w:t>
      </w:r>
      <w:r w:rsidR="00EE465D">
        <w:t>s</w:t>
      </w:r>
      <w:r>
        <w:t xml:space="preserve"> 98</w:t>
      </w:r>
      <w:proofErr w:type="gramStart"/>
      <w:r>
        <w:t>C(</w:t>
      </w:r>
      <w:proofErr w:type="gramEnd"/>
      <w:r>
        <w:t>2) or 98D(2) of the Act</w:t>
      </w:r>
      <w:r w:rsidR="00C4779B">
        <w:t>,</w:t>
      </w:r>
      <w:r w:rsidR="00EE465D">
        <w:t xml:space="preserve"> or</w:t>
      </w:r>
    </w:p>
    <w:p w14:paraId="30299D4B" w14:textId="6EB847E1" w:rsidR="009F7CC4" w:rsidRDefault="009F7CC4" w:rsidP="008420DD">
      <w:pPr>
        <w:pStyle w:val="Bullet"/>
        <w:numPr>
          <w:ilvl w:val="1"/>
          <w:numId w:val="7"/>
        </w:numPr>
      </w:pPr>
      <w:r>
        <w:t>of a situation arising in relation to the action which results in you no longer holding any part of the relevant interest in accordance with subsection 98</w:t>
      </w:r>
      <w:proofErr w:type="gramStart"/>
      <w:r>
        <w:t>E(</w:t>
      </w:r>
      <w:proofErr w:type="gramEnd"/>
      <w:r>
        <w:t>3) of the Act,</w:t>
      </w:r>
    </w:p>
    <w:p w14:paraId="7F771D46" w14:textId="284817F7" w:rsidR="00297BB5" w:rsidRDefault="00C4779B" w:rsidP="00372A0D">
      <w:r>
        <w:t xml:space="preserve">then </w:t>
      </w:r>
      <w:r w:rsidR="00664D3F">
        <w:t>you are required to give a register notice</w:t>
      </w:r>
      <w:r w:rsidR="004D49A4">
        <w:t xml:space="preserve"> within 30 days of 1 July</w:t>
      </w:r>
      <w:r w:rsidR="00664D3F">
        <w:t>.</w:t>
      </w:r>
      <w:r w:rsidR="00370352">
        <w:rPr>
          <w:rStyle w:val="FootnoteReference"/>
        </w:rPr>
        <w:footnoteReference w:id="8"/>
      </w:r>
      <w:r w:rsidR="009941FE">
        <w:t xml:space="preserve"> A registered circumstance</w:t>
      </w:r>
      <w:r w:rsidR="00AA3975">
        <w:t xml:space="preserve"> will arise when you give the register notice.</w:t>
      </w:r>
      <w:r w:rsidR="00FE4A73">
        <w:rPr>
          <w:rStyle w:val="FootnoteReference"/>
        </w:rPr>
        <w:footnoteReference w:id="9"/>
      </w:r>
    </w:p>
    <w:p w14:paraId="7D3D69BA" w14:textId="77777777" w:rsidR="00297BB5" w:rsidRDefault="00297BB5" w:rsidP="00372A0D"/>
    <w:p w14:paraId="5D95C49E" w14:textId="2171DD11" w:rsidR="00297BB5" w:rsidRDefault="00CA0FC1" w:rsidP="00297BB5">
      <w:pPr>
        <w:pStyle w:val="Heading3"/>
        <w:spacing w:before="0"/>
      </w:pPr>
      <w:r>
        <w:t>Previous non-compliance</w:t>
      </w:r>
    </w:p>
    <w:p w14:paraId="0A44CF6D" w14:textId="48D2F084" w:rsidR="00297BB5" w:rsidRDefault="00C372DA" w:rsidP="00372A0D">
      <w:r>
        <w:t xml:space="preserve">Non-compliance with sections 98C, 98D, and/or 98E of the Act that occurred before 1 July 2023 remains a breach of the Act and compliance action may be taken </w:t>
      </w:r>
      <w:r w:rsidR="007072A3">
        <w:t>with respect to such non-compliance.</w:t>
      </w:r>
    </w:p>
    <w:p w14:paraId="18DBB7AD" w14:textId="215CB104" w:rsidR="00674B63" w:rsidRDefault="00674B63" w:rsidP="00372A0D"/>
    <w:p w14:paraId="1884910E" w14:textId="08FF5ACB" w:rsidR="00494943" w:rsidRPr="008A56BD" w:rsidRDefault="00494943" w:rsidP="000E7C0E">
      <w:pPr>
        <w:pStyle w:val="Heading2"/>
      </w:pPr>
      <w:bookmarkStart w:id="0" w:name="_Toc58842833"/>
      <w:bookmarkStart w:id="1" w:name="_Toc58916606"/>
      <w:bookmarkStart w:id="2" w:name="_Toc135651838"/>
      <w:r w:rsidRPr="008A56BD">
        <w:t xml:space="preserve">Further </w:t>
      </w:r>
      <w:r w:rsidRPr="000E7C0E">
        <w:t>information</w:t>
      </w:r>
      <w:bookmarkEnd w:id="0"/>
      <w:bookmarkEnd w:id="1"/>
      <w:bookmarkEnd w:id="2"/>
    </w:p>
    <w:p w14:paraId="6799B969" w14:textId="46808506" w:rsidR="00DE74EC" w:rsidRPr="00045C24" w:rsidRDefault="00494943" w:rsidP="008F2212">
      <w:r w:rsidRPr="008A56BD">
        <w:rPr>
          <w:b/>
        </w:rPr>
        <w:t>Important notice</w:t>
      </w:r>
      <w:r w:rsidRPr="008A56BD">
        <w:t xml:space="preserve">: This </w:t>
      </w:r>
      <w:r w:rsidR="00070F8E">
        <w:t>Transitional Guide</w:t>
      </w:r>
      <w:r w:rsidRPr="008A56BD">
        <w:t xml:space="preserve"> provides a summary of the relevant law. As this </w:t>
      </w:r>
      <w:r w:rsidR="0067077B">
        <w:t>Guide</w:t>
      </w:r>
      <w:r w:rsidRPr="008A56BD">
        <w:t xml:space="preserv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8A56BD">
        <w:t>particular circumstances</w:t>
      </w:r>
      <w:proofErr w:type="gramEnd"/>
      <w:r w:rsidRPr="008A56BD">
        <w:t xml:space="preserve"> must be taken into account when determining how the law applies to you. This </w:t>
      </w:r>
      <w:r w:rsidR="00D33AD7">
        <w:t>Transitional Guide</w:t>
      </w:r>
      <w:r w:rsidR="00D33AD7" w:rsidRPr="008A56BD">
        <w:t xml:space="preserve"> </w:t>
      </w:r>
      <w:r w:rsidRPr="008A56BD">
        <w:t>is therefore not a substitute for obtaining your own legal advice.</w:t>
      </w:r>
    </w:p>
    <w:sectPr w:rsidR="00DE74EC" w:rsidRPr="00045C24" w:rsidSect="00300C95">
      <w:headerReference w:type="default" r:id="rId12"/>
      <w:footerReference w:type="default" r:id="rId13"/>
      <w:headerReference w:type="first" r:id="rId14"/>
      <w:footerReference w:type="first" r:id="rId15"/>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C7F4" w14:textId="77777777" w:rsidR="009C44C8" w:rsidRDefault="009C44C8" w:rsidP="00886BC4">
      <w:r>
        <w:separator/>
      </w:r>
    </w:p>
    <w:p w14:paraId="63049ED9" w14:textId="77777777" w:rsidR="009C44C8" w:rsidRDefault="009C44C8"/>
  </w:endnote>
  <w:endnote w:type="continuationSeparator" w:id="0">
    <w:p w14:paraId="4536EE78" w14:textId="77777777" w:rsidR="009C44C8" w:rsidRDefault="009C44C8" w:rsidP="00886BC4">
      <w:r>
        <w:continuationSeparator/>
      </w:r>
    </w:p>
    <w:p w14:paraId="676741C4" w14:textId="77777777" w:rsidR="009C44C8" w:rsidRDefault="009C44C8"/>
  </w:endnote>
  <w:endnote w:type="continuationNotice" w:id="1">
    <w:p w14:paraId="29F55E22" w14:textId="77777777" w:rsidR="009C44C8" w:rsidRDefault="009C4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9E5" w14:textId="7D0773B9" w:rsidR="00A15DB7" w:rsidRPr="00E81A92" w:rsidRDefault="00C24B10" w:rsidP="00C24B10">
    <w:pPr>
      <w:pStyle w:val="Footer"/>
      <w:tabs>
        <w:tab w:val="clear" w:pos="4320"/>
      </w:tabs>
      <w:jc w:val="right"/>
    </w:pPr>
    <w:r w:rsidRPr="00AC3B66">
      <w:rPr>
        <w:noProof/>
        <w:position w:val="-10"/>
      </w:rPr>
      <w:drawing>
        <wp:inline distT="0" distB="0" distL="0" distR="0" wp14:anchorId="5D22872F" wp14:editId="10A8F1CA">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AF1B48">
      <w:t xml:space="preserve">Version </w:t>
    </w:r>
    <w:r w:rsidR="009C6A0C">
      <w:t>3</w:t>
    </w:r>
    <w:r w:rsidR="00AF1B48">
      <w:t xml:space="preserve"> (</w:t>
    </w:r>
    <w:r w:rsidR="00D71546">
      <w:t xml:space="preserve">17 August </w:t>
    </w:r>
    <w:proofErr w:type="gramStart"/>
    <w:r w:rsidR="00AF1B48">
      <w:t>2023)</w:t>
    </w:r>
    <w:r w:rsidR="00E81A92">
      <w:t>|</w:t>
    </w:r>
    <w:proofErr w:type="gramEnd"/>
    <w:r w:rsidR="00371FCB">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C75" w14:textId="3EC6ABD9" w:rsidR="00300C95" w:rsidRPr="00E81A92" w:rsidRDefault="00C24B10" w:rsidP="00BA123B">
    <w:pPr>
      <w:pStyle w:val="Footer"/>
      <w:tabs>
        <w:tab w:val="clear" w:pos="4320"/>
        <w:tab w:val="clear" w:pos="8640"/>
        <w:tab w:val="center" w:pos="7938"/>
      </w:tabs>
      <w:jc w:val="right"/>
    </w:pPr>
    <w:r w:rsidRPr="00AC3B66">
      <w:rPr>
        <w:noProof/>
        <w:position w:val="-10"/>
      </w:rPr>
      <w:drawing>
        <wp:inline distT="0" distB="0" distL="0" distR="0" wp14:anchorId="022E6C2B" wp14:editId="49F84F6A">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AF1B48">
      <w:t xml:space="preserve">Version </w:t>
    </w:r>
    <w:r w:rsidR="009C6A0C">
      <w:t>3</w:t>
    </w:r>
    <w:r w:rsidR="00AF1B48">
      <w:t xml:space="preserve"> (</w:t>
    </w:r>
    <w:r w:rsidR="00D71546">
      <w:t xml:space="preserve">17 August </w:t>
    </w:r>
    <w:r w:rsidR="00E7404B">
      <w:t>2023</w:t>
    </w:r>
    <w:r w:rsidR="00AF1B48">
      <w:t>)</w:t>
    </w:r>
    <w:r w:rsidR="00E81A92">
      <w:t xml:space="preserve"> |</w:t>
    </w:r>
    <w:r w:rsidR="00371FCB">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685A" w14:textId="77777777" w:rsidR="009C44C8" w:rsidRDefault="009C44C8" w:rsidP="00886BC4">
      <w:r>
        <w:separator/>
      </w:r>
    </w:p>
    <w:p w14:paraId="721D4AF7" w14:textId="77777777" w:rsidR="009C44C8" w:rsidRDefault="009C44C8"/>
  </w:footnote>
  <w:footnote w:type="continuationSeparator" w:id="0">
    <w:p w14:paraId="548EF4AD" w14:textId="77777777" w:rsidR="009C44C8" w:rsidRDefault="009C44C8" w:rsidP="00886BC4">
      <w:r>
        <w:continuationSeparator/>
      </w:r>
    </w:p>
    <w:p w14:paraId="0B4D8464" w14:textId="77777777" w:rsidR="009C44C8" w:rsidRDefault="009C44C8"/>
  </w:footnote>
  <w:footnote w:type="continuationNotice" w:id="1">
    <w:p w14:paraId="27092190" w14:textId="77777777" w:rsidR="009C44C8" w:rsidRDefault="009C44C8"/>
  </w:footnote>
  <w:footnote w:id="2">
    <w:p w14:paraId="3C25C2CE" w14:textId="77777777" w:rsidR="00E85623" w:rsidRDefault="00E85623" w:rsidP="00E85623">
      <w:pPr>
        <w:pStyle w:val="FootnoteText"/>
      </w:pPr>
      <w:r>
        <w:rPr>
          <w:rStyle w:val="FootnoteReference"/>
        </w:rPr>
        <w:footnoteRef/>
      </w:r>
      <w:r>
        <w:t xml:space="preserve"> Obligations to register an interest on the Residential Land Register generally arise under conditions imposed in an exemption certificate, no objection notification, or notice imposing conditions. </w:t>
      </w:r>
    </w:p>
  </w:footnote>
  <w:footnote w:id="3">
    <w:p w14:paraId="5C07D862" w14:textId="48436A59" w:rsidR="002A6D29" w:rsidRDefault="002A6D29">
      <w:pPr>
        <w:pStyle w:val="FootnoteText"/>
      </w:pPr>
      <w:r>
        <w:rPr>
          <w:rStyle w:val="FootnoteReference"/>
        </w:rPr>
        <w:footnoteRef/>
      </w:r>
      <w:r>
        <w:t xml:space="preserve"> </w:t>
      </w:r>
      <w:r w:rsidR="00224187">
        <w:t>See</w:t>
      </w:r>
      <w:r w:rsidR="004E1821">
        <w:t xml:space="preserve"> sections 20 and 21 of Schedule 3 to the </w:t>
      </w:r>
      <w:r w:rsidR="00224187">
        <w:rPr>
          <w:i/>
          <w:iCs/>
        </w:rPr>
        <w:t>Foreign Investment Reform (Protecting Australia’s National Security) Act 2020</w:t>
      </w:r>
      <w:r w:rsidR="00224187">
        <w:t xml:space="preserve"> (</w:t>
      </w:r>
      <w:r w:rsidR="004E1821">
        <w:t xml:space="preserve">the </w:t>
      </w:r>
      <w:r w:rsidR="00224187" w:rsidRPr="00BA2803">
        <w:rPr>
          <w:b/>
          <w:bCs/>
        </w:rPr>
        <w:t>Reform Act</w:t>
      </w:r>
      <w:r w:rsidR="00224187">
        <w:t>)</w:t>
      </w:r>
      <w:r w:rsidR="00BF103D">
        <w:t>.</w:t>
      </w:r>
    </w:p>
  </w:footnote>
  <w:footnote w:id="4">
    <w:p w14:paraId="1B72EDC2" w14:textId="6F0F9753" w:rsidR="00E85752" w:rsidRDefault="00E85752">
      <w:pPr>
        <w:pStyle w:val="FootnoteText"/>
      </w:pPr>
      <w:r>
        <w:rPr>
          <w:rStyle w:val="FootnoteReference"/>
        </w:rPr>
        <w:footnoteRef/>
      </w:r>
      <w:r>
        <w:t xml:space="preserve"> </w:t>
      </w:r>
      <w:r w:rsidR="00273FF5">
        <w:t xml:space="preserve">See </w:t>
      </w:r>
      <w:r w:rsidR="002C006A">
        <w:t xml:space="preserve">sections 22 and 23 of Schedule 3 to the </w:t>
      </w:r>
      <w:r w:rsidR="00273FF5">
        <w:t xml:space="preserve">Reform Act. </w:t>
      </w:r>
    </w:p>
  </w:footnote>
  <w:footnote w:id="5">
    <w:p w14:paraId="2697C6FC" w14:textId="77777777" w:rsidR="00433D51" w:rsidRPr="00B57678" w:rsidRDefault="00433D51" w:rsidP="00433D51">
      <w:pPr>
        <w:pStyle w:val="FootnoteText"/>
      </w:pPr>
      <w:r>
        <w:rPr>
          <w:rStyle w:val="FootnoteReference"/>
        </w:rPr>
        <w:footnoteRef/>
      </w:r>
      <w:r>
        <w:t xml:space="preserve"> A core Part 3 action is a significant action, a notifiable national security action, or a reviewable national security action that is either notified to the Treasurer or in respect of which the Treasurer has given notice under subsection 66A(4) of the Act. </w:t>
      </w:r>
    </w:p>
  </w:footnote>
  <w:footnote w:id="6">
    <w:p w14:paraId="27B96ADE" w14:textId="77777777" w:rsidR="00433D51" w:rsidRDefault="00433D51" w:rsidP="00433D51">
      <w:pPr>
        <w:pStyle w:val="FootnoteText"/>
      </w:pPr>
      <w:r>
        <w:rPr>
          <w:rStyle w:val="FootnoteReference"/>
        </w:rPr>
        <w:footnoteRef/>
      </w:r>
      <w:r>
        <w:t xml:space="preserve"> See subsection 81(3) of the </w:t>
      </w:r>
      <w:r w:rsidRPr="003967A4">
        <w:rPr>
          <w:i/>
          <w:iCs/>
        </w:rPr>
        <w:t>Foreign Acquisitions and Takeovers Regulation 2015</w:t>
      </w:r>
      <w:r>
        <w:t xml:space="preserve"> (the </w:t>
      </w:r>
      <w:r w:rsidRPr="00833455">
        <w:rPr>
          <w:b/>
          <w:bCs/>
        </w:rPr>
        <w:t>Regulation</w:t>
      </w:r>
      <w:r>
        <w:t xml:space="preserve">). </w:t>
      </w:r>
    </w:p>
  </w:footnote>
  <w:footnote w:id="7">
    <w:p w14:paraId="0F459EC4" w14:textId="77777777" w:rsidR="00433D51" w:rsidRDefault="00433D51" w:rsidP="00433D51">
      <w:pPr>
        <w:pStyle w:val="FootnoteText"/>
      </w:pPr>
      <w:r>
        <w:rPr>
          <w:rStyle w:val="FootnoteReference"/>
        </w:rPr>
        <w:footnoteRef/>
      </w:r>
      <w:r>
        <w:t xml:space="preserve"> See subsection 81(2) of the </w:t>
      </w:r>
      <w:r w:rsidRPr="00BA2803">
        <w:t>Regulation</w:t>
      </w:r>
      <w:r>
        <w:t xml:space="preserve">. </w:t>
      </w:r>
    </w:p>
  </w:footnote>
  <w:footnote w:id="8">
    <w:p w14:paraId="58E46380" w14:textId="1AD36ADC" w:rsidR="00370352" w:rsidRPr="00582EF6" w:rsidRDefault="00370352">
      <w:pPr>
        <w:pStyle w:val="FootnoteText"/>
      </w:pPr>
      <w:r>
        <w:rPr>
          <w:rStyle w:val="FootnoteReference"/>
        </w:rPr>
        <w:footnoteRef/>
      </w:r>
      <w:r>
        <w:t xml:space="preserve"> </w:t>
      </w:r>
      <w:r w:rsidR="00EB4B5F">
        <w:t>See subsection</w:t>
      </w:r>
      <w:r w:rsidR="006A1B4A">
        <w:t>s</w:t>
      </w:r>
      <w:r w:rsidR="00EB4B5F">
        <w:t xml:space="preserve"> 81(</w:t>
      </w:r>
      <w:r w:rsidR="00727AE7">
        <w:t>3</w:t>
      </w:r>
      <w:r w:rsidR="00EB4B5F">
        <w:t xml:space="preserve">) </w:t>
      </w:r>
      <w:r w:rsidR="006A1B4A">
        <w:t xml:space="preserve">and 81(6) </w:t>
      </w:r>
      <w:r w:rsidR="00EB4B5F">
        <w:t xml:space="preserve">of </w:t>
      </w:r>
      <w:r w:rsidR="00833455">
        <w:t xml:space="preserve">the Regulation. </w:t>
      </w:r>
    </w:p>
  </w:footnote>
  <w:footnote w:id="9">
    <w:p w14:paraId="5E54F3B4" w14:textId="57826909" w:rsidR="00FE4A73" w:rsidRDefault="00FE4A73">
      <w:pPr>
        <w:pStyle w:val="FootnoteText"/>
      </w:pPr>
      <w:r>
        <w:rPr>
          <w:rStyle w:val="FootnoteReference"/>
        </w:rPr>
        <w:footnoteRef/>
      </w:r>
      <w:r>
        <w:t xml:space="preserve"> </w:t>
      </w:r>
      <w:r w:rsidR="00DF4571">
        <w:t xml:space="preserve">See subsection 81(4) of the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9D4" w14:textId="77A85415" w:rsidR="006D3EE7" w:rsidRPr="007F53C0" w:rsidRDefault="00FC2E34" w:rsidP="007F53C0">
    <w:pPr>
      <w:pStyle w:val="Header"/>
    </w:pPr>
    <w:r>
      <w:rPr>
        <w:noProof/>
      </w:rPr>
      <w:drawing>
        <wp:anchor distT="0" distB="0" distL="114300" distR="114300" simplePos="0" relativeHeight="251658241" behindDoc="1" locked="0" layoutInCell="1" allowOverlap="1" wp14:anchorId="3FB175F8" wp14:editId="099A3013">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dec="http://schemas.microsoft.com/office/drawing/2017/decorativ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264F10"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9F9" w14:textId="77777777" w:rsidR="00300C95" w:rsidRDefault="00300C95">
    <w:pPr>
      <w:pStyle w:val="Header"/>
    </w:pPr>
    <w:r>
      <w:rPr>
        <w:noProof/>
      </w:rPr>
      <w:drawing>
        <wp:anchor distT="0" distB="0" distL="114300" distR="114300" simplePos="0" relativeHeight="251658240" behindDoc="1" locked="0" layoutInCell="1" allowOverlap="0" wp14:anchorId="7C28FCE9" wp14:editId="4B7B713A">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020713B"/>
    <w:multiLevelType w:val="hybridMultilevel"/>
    <w:tmpl w:val="DC8ECF4E"/>
    <w:lvl w:ilvl="0" w:tplc="4B8CB5C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CA00778"/>
    <w:multiLevelType w:val="hybridMultilevel"/>
    <w:tmpl w:val="BE4E631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B830D63"/>
    <w:multiLevelType w:val="hybridMultilevel"/>
    <w:tmpl w:val="9D6A9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56099631">
    <w:abstractNumId w:val="4"/>
  </w:num>
  <w:num w:numId="2" w16cid:durableId="364335950">
    <w:abstractNumId w:val="13"/>
  </w:num>
  <w:num w:numId="3" w16cid:durableId="1682005732">
    <w:abstractNumId w:val="11"/>
  </w:num>
  <w:num w:numId="4" w16cid:durableId="2138064052">
    <w:abstractNumId w:val="12"/>
  </w:num>
  <w:num w:numId="5" w16cid:durableId="723139268">
    <w:abstractNumId w:val="6"/>
  </w:num>
  <w:num w:numId="6" w16cid:durableId="588925626">
    <w:abstractNumId w:val="0"/>
  </w:num>
  <w:num w:numId="7" w16cid:durableId="162866284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1928905">
    <w:abstractNumId w:val="2"/>
  </w:num>
  <w:num w:numId="9" w16cid:durableId="333726448">
    <w:abstractNumId w:val="8"/>
  </w:num>
  <w:num w:numId="10" w16cid:durableId="1501122696">
    <w:abstractNumId w:val="9"/>
  </w:num>
  <w:num w:numId="11" w16cid:durableId="722291518">
    <w:abstractNumId w:val="10"/>
  </w:num>
  <w:num w:numId="12" w16cid:durableId="1505048040">
    <w:abstractNumId w:val="5"/>
  </w:num>
  <w:num w:numId="13" w16cid:durableId="1669096295">
    <w:abstractNumId w:val="7"/>
  </w:num>
  <w:num w:numId="14" w16cid:durableId="1168445651">
    <w:abstractNumId w:val="1"/>
  </w:num>
  <w:num w:numId="15" w16cid:durableId="39146839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94943"/>
    <w:rsid w:val="00002006"/>
    <w:rsid w:val="00004952"/>
    <w:rsid w:val="0000526F"/>
    <w:rsid w:val="000072F4"/>
    <w:rsid w:val="00016670"/>
    <w:rsid w:val="00016B6C"/>
    <w:rsid w:val="0002151A"/>
    <w:rsid w:val="00023561"/>
    <w:rsid w:val="00023D7B"/>
    <w:rsid w:val="0002574E"/>
    <w:rsid w:val="00032B68"/>
    <w:rsid w:val="00033081"/>
    <w:rsid w:val="00033942"/>
    <w:rsid w:val="00037AC4"/>
    <w:rsid w:val="00040E65"/>
    <w:rsid w:val="000421F9"/>
    <w:rsid w:val="0004293A"/>
    <w:rsid w:val="00043EAA"/>
    <w:rsid w:val="00045C24"/>
    <w:rsid w:val="00047729"/>
    <w:rsid w:val="00047D0A"/>
    <w:rsid w:val="00052618"/>
    <w:rsid w:val="00053255"/>
    <w:rsid w:val="00054363"/>
    <w:rsid w:val="00056CC9"/>
    <w:rsid w:val="00060C76"/>
    <w:rsid w:val="00067E31"/>
    <w:rsid w:val="00067E65"/>
    <w:rsid w:val="00070F8E"/>
    <w:rsid w:val="000712EC"/>
    <w:rsid w:val="0007305A"/>
    <w:rsid w:val="00073DD3"/>
    <w:rsid w:val="00074455"/>
    <w:rsid w:val="000753CE"/>
    <w:rsid w:val="0007601E"/>
    <w:rsid w:val="00077F9A"/>
    <w:rsid w:val="00080155"/>
    <w:rsid w:val="000848BF"/>
    <w:rsid w:val="00084DE4"/>
    <w:rsid w:val="00085EC6"/>
    <w:rsid w:val="000870CE"/>
    <w:rsid w:val="000A4D2D"/>
    <w:rsid w:val="000A4EFC"/>
    <w:rsid w:val="000A508E"/>
    <w:rsid w:val="000A5D88"/>
    <w:rsid w:val="000A6DE9"/>
    <w:rsid w:val="000B0182"/>
    <w:rsid w:val="000B1EC3"/>
    <w:rsid w:val="000B2A7D"/>
    <w:rsid w:val="000B3621"/>
    <w:rsid w:val="000B3C90"/>
    <w:rsid w:val="000B4DDC"/>
    <w:rsid w:val="000B71AB"/>
    <w:rsid w:val="000C02C9"/>
    <w:rsid w:val="000C2C38"/>
    <w:rsid w:val="000C3EA6"/>
    <w:rsid w:val="000C656A"/>
    <w:rsid w:val="000D33F2"/>
    <w:rsid w:val="000D7D2F"/>
    <w:rsid w:val="000E101D"/>
    <w:rsid w:val="000E324C"/>
    <w:rsid w:val="000E6E62"/>
    <w:rsid w:val="000E7C0E"/>
    <w:rsid w:val="000F1A03"/>
    <w:rsid w:val="000F2493"/>
    <w:rsid w:val="000F2562"/>
    <w:rsid w:val="000F33C9"/>
    <w:rsid w:val="000F4643"/>
    <w:rsid w:val="00102238"/>
    <w:rsid w:val="00102CB2"/>
    <w:rsid w:val="00104523"/>
    <w:rsid w:val="0010475C"/>
    <w:rsid w:val="00105298"/>
    <w:rsid w:val="00105EBE"/>
    <w:rsid w:val="00110A4A"/>
    <w:rsid w:val="001145FD"/>
    <w:rsid w:val="00115B2E"/>
    <w:rsid w:val="0011628E"/>
    <w:rsid w:val="00120641"/>
    <w:rsid w:val="00120E2E"/>
    <w:rsid w:val="00121281"/>
    <w:rsid w:val="0012135C"/>
    <w:rsid w:val="001247BF"/>
    <w:rsid w:val="001363E7"/>
    <w:rsid w:val="00136BBD"/>
    <w:rsid w:val="001376CC"/>
    <w:rsid w:val="00137CBC"/>
    <w:rsid w:val="00140697"/>
    <w:rsid w:val="0014178A"/>
    <w:rsid w:val="00144B84"/>
    <w:rsid w:val="0015229C"/>
    <w:rsid w:val="001547F3"/>
    <w:rsid w:val="00160608"/>
    <w:rsid w:val="00161AD3"/>
    <w:rsid w:val="00164071"/>
    <w:rsid w:val="00164A10"/>
    <w:rsid w:val="001654EE"/>
    <w:rsid w:val="00166A45"/>
    <w:rsid w:val="001671B5"/>
    <w:rsid w:val="00172F7E"/>
    <w:rsid w:val="00174954"/>
    <w:rsid w:val="00175B82"/>
    <w:rsid w:val="00177588"/>
    <w:rsid w:val="00182E9E"/>
    <w:rsid w:val="00183F40"/>
    <w:rsid w:val="0018437A"/>
    <w:rsid w:val="001846AB"/>
    <w:rsid w:val="00190D7B"/>
    <w:rsid w:val="0019207C"/>
    <w:rsid w:val="00192367"/>
    <w:rsid w:val="001929D8"/>
    <w:rsid w:val="00193CA2"/>
    <w:rsid w:val="00197414"/>
    <w:rsid w:val="001A19CF"/>
    <w:rsid w:val="001A3A6F"/>
    <w:rsid w:val="001A3CF8"/>
    <w:rsid w:val="001A5155"/>
    <w:rsid w:val="001A5DCC"/>
    <w:rsid w:val="001B3A29"/>
    <w:rsid w:val="001B540E"/>
    <w:rsid w:val="001B7403"/>
    <w:rsid w:val="001C5117"/>
    <w:rsid w:val="001C54E9"/>
    <w:rsid w:val="001C78AE"/>
    <w:rsid w:val="001D45A4"/>
    <w:rsid w:val="001D711A"/>
    <w:rsid w:val="001D7AFF"/>
    <w:rsid w:val="001E4735"/>
    <w:rsid w:val="001E5623"/>
    <w:rsid w:val="001E6DC2"/>
    <w:rsid w:val="001E749F"/>
    <w:rsid w:val="001E7840"/>
    <w:rsid w:val="001E7CF5"/>
    <w:rsid w:val="001F17F0"/>
    <w:rsid w:val="001F50DA"/>
    <w:rsid w:val="001F517F"/>
    <w:rsid w:val="0020146B"/>
    <w:rsid w:val="002015E8"/>
    <w:rsid w:val="00202308"/>
    <w:rsid w:val="0020251C"/>
    <w:rsid w:val="00203245"/>
    <w:rsid w:val="0020340E"/>
    <w:rsid w:val="0020379E"/>
    <w:rsid w:val="002050BB"/>
    <w:rsid w:val="0020559F"/>
    <w:rsid w:val="002055FA"/>
    <w:rsid w:val="00205F44"/>
    <w:rsid w:val="00206183"/>
    <w:rsid w:val="0020620B"/>
    <w:rsid w:val="002105F8"/>
    <w:rsid w:val="00211B7B"/>
    <w:rsid w:val="00212760"/>
    <w:rsid w:val="00213473"/>
    <w:rsid w:val="00213635"/>
    <w:rsid w:val="00215EE7"/>
    <w:rsid w:val="00216155"/>
    <w:rsid w:val="00216F6A"/>
    <w:rsid w:val="00220123"/>
    <w:rsid w:val="00220D84"/>
    <w:rsid w:val="00223D87"/>
    <w:rsid w:val="00224187"/>
    <w:rsid w:val="00224924"/>
    <w:rsid w:val="00225476"/>
    <w:rsid w:val="002268AB"/>
    <w:rsid w:val="00226F00"/>
    <w:rsid w:val="00226F07"/>
    <w:rsid w:val="0022749C"/>
    <w:rsid w:val="00227C77"/>
    <w:rsid w:val="00231C86"/>
    <w:rsid w:val="00233887"/>
    <w:rsid w:val="00233A88"/>
    <w:rsid w:val="00233E84"/>
    <w:rsid w:val="002379AA"/>
    <w:rsid w:val="002401BE"/>
    <w:rsid w:val="00240826"/>
    <w:rsid w:val="00241B9A"/>
    <w:rsid w:val="0024226F"/>
    <w:rsid w:val="00244584"/>
    <w:rsid w:val="002451FA"/>
    <w:rsid w:val="00245342"/>
    <w:rsid w:val="002462BD"/>
    <w:rsid w:val="0024730A"/>
    <w:rsid w:val="002528FC"/>
    <w:rsid w:val="00253CB2"/>
    <w:rsid w:val="00260712"/>
    <w:rsid w:val="00261232"/>
    <w:rsid w:val="002612B3"/>
    <w:rsid w:val="00262747"/>
    <w:rsid w:val="00262BCF"/>
    <w:rsid w:val="00263339"/>
    <w:rsid w:val="00264F10"/>
    <w:rsid w:val="00265FB5"/>
    <w:rsid w:val="0027105B"/>
    <w:rsid w:val="00273FF5"/>
    <w:rsid w:val="0028054E"/>
    <w:rsid w:val="002809F6"/>
    <w:rsid w:val="0028126F"/>
    <w:rsid w:val="00283303"/>
    <w:rsid w:val="00284C61"/>
    <w:rsid w:val="00287F32"/>
    <w:rsid w:val="0029134D"/>
    <w:rsid w:val="002978C8"/>
    <w:rsid w:val="00297BB5"/>
    <w:rsid w:val="002A0B32"/>
    <w:rsid w:val="002A4252"/>
    <w:rsid w:val="002A4B83"/>
    <w:rsid w:val="002A6430"/>
    <w:rsid w:val="002A689C"/>
    <w:rsid w:val="002A6D29"/>
    <w:rsid w:val="002A70A1"/>
    <w:rsid w:val="002A79C5"/>
    <w:rsid w:val="002B33F7"/>
    <w:rsid w:val="002B6EF6"/>
    <w:rsid w:val="002C006A"/>
    <w:rsid w:val="002C038C"/>
    <w:rsid w:val="002C26D9"/>
    <w:rsid w:val="002C4064"/>
    <w:rsid w:val="002D49D1"/>
    <w:rsid w:val="002D4F82"/>
    <w:rsid w:val="002D53D4"/>
    <w:rsid w:val="002E4793"/>
    <w:rsid w:val="002F417B"/>
    <w:rsid w:val="002F5236"/>
    <w:rsid w:val="002F555C"/>
    <w:rsid w:val="002F6ADC"/>
    <w:rsid w:val="00300C95"/>
    <w:rsid w:val="0030274C"/>
    <w:rsid w:val="0030311F"/>
    <w:rsid w:val="003054A8"/>
    <w:rsid w:val="003063FD"/>
    <w:rsid w:val="00306770"/>
    <w:rsid w:val="00307486"/>
    <w:rsid w:val="00307DA3"/>
    <w:rsid w:val="00311688"/>
    <w:rsid w:val="00312D48"/>
    <w:rsid w:val="0032536A"/>
    <w:rsid w:val="00326CB7"/>
    <w:rsid w:val="00327D31"/>
    <w:rsid w:val="003305CA"/>
    <w:rsid w:val="0033744C"/>
    <w:rsid w:val="0034064A"/>
    <w:rsid w:val="00344473"/>
    <w:rsid w:val="003448FB"/>
    <w:rsid w:val="00344B3D"/>
    <w:rsid w:val="0034564D"/>
    <w:rsid w:val="003508D8"/>
    <w:rsid w:val="00353390"/>
    <w:rsid w:val="00354FE4"/>
    <w:rsid w:val="00355192"/>
    <w:rsid w:val="00355EBE"/>
    <w:rsid w:val="00357842"/>
    <w:rsid w:val="00362487"/>
    <w:rsid w:val="00364EBF"/>
    <w:rsid w:val="00370352"/>
    <w:rsid w:val="003717EE"/>
    <w:rsid w:val="00371FCB"/>
    <w:rsid w:val="003728CB"/>
    <w:rsid w:val="00372A0D"/>
    <w:rsid w:val="00372AC1"/>
    <w:rsid w:val="0037338B"/>
    <w:rsid w:val="00380070"/>
    <w:rsid w:val="003802F4"/>
    <w:rsid w:val="0038196D"/>
    <w:rsid w:val="00382003"/>
    <w:rsid w:val="003831AB"/>
    <w:rsid w:val="00384CD1"/>
    <w:rsid w:val="00384E50"/>
    <w:rsid w:val="003868B6"/>
    <w:rsid w:val="00390C06"/>
    <w:rsid w:val="00390DB6"/>
    <w:rsid w:val="003917B7"/>
    <w:rsid w:val="003936D1"/>
    <w:rsid w:val="003967A4"/>
    <w:rsid w:val="003A2AD4"/>
    <w:rsid w:val="003A4A75"/>
    <w:rsid w:val="003A63D1"/>
    <w:rsid w:val="003B7B9D"/>
    <w:rsid w:val="003C047D"/>
    <w:rsid w:val="003C0F8F"/>
    <w:rsid w:val="003C1854"/>
    <w:rsid w:val="003C23BB"/>
    <w:rsid w:val="003C3157"/>
    <w:rsid w:val="003C45E2"/>
    <w:rsid w:val="003C4F86"/>
    <w:rsid w:val="003C789B"/>
    <w:rsid w:val="003D59DB"/>
    <w:rsid w:val="003E0DD0"/>
    <w:rsid w:val="003E26C5"/>
    <w:rsid w:val="003E547C"/>
    <w:rsid w:val="003F2E2F"/>
    <w:rsid w:val="003F424B"/>
    <w:rsid w:val="003F4E40"/>
    <w:rsid w:val="003F6422"/>
    <w:rsid w:val="003F7DB5"/>
    <w:rsid w:val="0040142F"/>
    <w:rsid w:val="00405942"/>
    <w:rsid w:val="004060B1"/>
    <w:rsid w:val="0040670A"/>
    <w:rsid w:val="00406B5A"/>
    <w:rsid w:val="0041144A"/>
    <w:rsid w:val="0041165A"/>
    <w:rsid w:val="00413184"/>
    <w:rsid w:val="00417395"/>
    <w:rsid w:val="0042337E"/>
    <w:rsid w:val="00424E4F"/>
    <w:rsid w:val="00425E05"/>
    <w:rsid w:val="00426C9A"/>
    <w:rsid w:val="00433D51"/>
    <w:rsid w:val="00434B6B"/>
    <w:rsid w:val="00436009"/>
    <w:rsid w:val="00442C7E"/>
    <w:rsid w:val="00446DDA"/>
    <w:rsid w:val="0045074A"/>
    <w:rsid w:val="00450CCE"/>
    <w:rsid w:val="00450FD9"/>
    <w:rsid w:val="004542B7"/>
    <w:rsid w:val="004542E7"/>
    <w:rsid w:val="004546DC"/>
    <w:rsid w:val="00455EDA"/>
    <w:rsid w:val="004614B6"/>
    <w:rsid w:val="00462FFC"/>
    <w:rsid w:val="00463D4E"/>
    <w:rsid w:val="00470BA0"/>
    <w:rsid w:val="00472B2D"/>
    <w:rsid w:val="0047507F"/>
    <w:rsid w:val="00477439"/>
    <w:rsid w:val="00480D6B"/>
    <w:rsid w:val="00483FD7"/>
    <w:rsid w:val="00484294"/>
    <w:rsid w:val="0048582A"/>
    <w:rsid w:val="00485A3D"/>
    <w:rsid w:val="00486B7C"/>
    <w:rsid w:val="00490C62"/>
    <w:rsid w:val="00492181"/>
    <w:rsid w:val="00494943"/>
    <w:rsid w:val="00495BB3"/>
    <w:rsid w:val="00496135"/>
    <w:rsid w:val="0049673E"/>
    <w:rsid w:val="00496C34"/>
    <w:rsid w:val="004A083C"/>
    <w:rsid w:val="004A19BB"/>
    <w:rsid w:val="004A2AFD"/>
    <w:rsid w:val="004A37EA"/>
    <w:rsid w:val="004A4424"/>
    <w:rsid w:val="004A600E"/>
    <w:rsid w:val="004B08DC"/>
    <w:rsid w:val="004B1F82"/>
    <w:rsid w:val="004B215C"/>
    <w:rsid w:val="004B548D"/>
    <w:rsid w:val="004B56B0"/>
    <w:rsid w:val="004C0E32"/>
    <w:rsid w:val="004C2AE6"/>
    <w:rsid w:val="004C39C4"/>
    <w:rsid w:val="004C44C9"/>
    <w:rsid w:val="004C5917"/>
    <w:rsid w:val="004C5E48"/>
    <w:rsid w:val="004C751A"/>
    <w:rsid w:val="004D03AB"/>
    <w:rsid w:val="004D0778"/>
    <w:rsid w:val="004D19B7"/>
    <w:rsid w:val="004D4671"/>
    <w:rsid w:val="004D49A4"/>
    <w:rsid w:val="004D4CA1"/>
    <w:rsid w:val="004D75F6"/>
    <w:rsid w:val="004E0486"/>
    <w:rsid w:val="004E1821"/>
    <w:rsid w:val="004E424B"/>
    <w:rsid w:val="004E71FE"/>
    <w:rsid w:val="004F24D0"/>
    <w:rsid w:val="004F41E1"/>
    <w:rsid w:val="004F551B"/>
    <w:rsid w:val="004F7B65"/>
    <w:rsid w:val="00501D36"/>
    <w:rsid w:val="00502E10"/>
    <w:rsid w:val="00502F40"/>
    <w:rsid w:val="00503D2A"/>
    <w:rsid w:val="00505009"/>
    <w:rsid w:val="0050561E"/>
    <w:rsid w:val="00506BF4"/>
    <w:rsid w:val="00507097"/>
    <w:rsid w:val="0050795E"/>
    <w:rsid w:val="00510A14"/>
    <w:rsid w:val="00512CEB"/>
    <w:rsid w:val="0051600D"/>
    <w:rsid w:val="00516FB2"/>
    <w:rsid w:val="005170EE"/>
    <w:rsid w:val="00523277"/>
    <w:rsid w:val="00523606"/>
    <w:rsid w:val="00524DCE"/>
    <w:rsid w:val="00525050"/>
    <w:rsid w:val="00525C74"/>
    <w:rsid w:val="0053110F"/>
    <w:rsid w:val="00531363"/>
    <w:rsid w:val="00533FEF"/>
    <w:rsid w:val="00534335"/>
    <w:rsid w:val="00535C81"/>
    <w:rsid w:val="00540C63"/>
    <w:rsid w:val="00542CA3"/>
    <w:rsid w:val="00546D8E"/>
    <w:rsid w:val="00546FDD"/>
    <w:rsid w:val="00551340"/>
    <w:rsid w:val="005522EC"/>
    <w:rsid w:val="00555276"/>
    <w:rsid w:val="0055572E"/>
    <w:rsid w:val="00556E18"/>
    <w:rsid w:val="005606FD"/>
    <w:rsid w:val="00560C19"/>
    <w:rsid w:val="00565A52"/>
    <w:rsid w:val="00566889"/>
    <w:rsid w:val="00566AD8"/>
    <w:rsid w:val="00570B86"/>
    <w:rsid w:val="00571A28"/>
    <w:rsid w:val="00571BFE"/>
    <w:rsid w:val="005732EB"/>
    <w:rsid w:val="00575EF2"/>
    <w:rsid w:val="00575F92"/>
    <w:rsid w:val="005803BF"/>
    <w:rsid w:val="00580B9B"/>
    <w:rsid w:val="00580CE7"/>
    <w:rsid w:val="00581928"/>
    <w:rsid w:val="00582187"/>
    <w:rsid w:val="00582EF6"/>
    <w:rsid w:val="00582FAD"/>
    <w:rsid w:val="00585C3A"/>
    <w:rsid w:val="00585F7E"/>
    <w:rsid w:val="005876CE"/>
    <w:rsid w:val="00587908"/>
    <w:rsid w:val="005920F0"/>
    <w:rsid w:val="005930ED"/>
    <w:rsid w:val="005936C6"/>
    <w:rsid w:val="00594ABF"/>
    <w:rsid w:val="005958A3"/>
    <w:rsid w:val="00596A7E"/>
    <w:rsid w:val="005A11E6"/>
    <w:rsid w:val="005A2484"/>
    <w:rsid w:val="005A5598"/>
    <w:rsid w:val="005A6A61"/>
    <w:rsid w:val="005B0968"/>
    <w:rsid w:val="005B1C22"/>
    <w:rsid w:val="005B207E"/>
    <w:rsid w:val="005B2484"/>
    <w:rsid w:val="005B3871"/>
    <w:rsid w:val="005B4924"/>
    <w:rsid w:val="005B659D"/>
    <w:rsid w:val="005B6B98"/>
    <w:rsid w:val="005B7DE2"/>
    <w:rsid w:val="005C0B65"/>
    <w:rsid w:val="005C1326"/>
    <w:rsid w:val="005C3527"/>
    <w:rsid w:val="005C41CF"/>
    <w:rsid w:val="005C4B02"/>
    <w:rsid w:val="005C5E6D"/>
    <w:rsid w:val="005D26D7"/>
    <w:rsid w:val="005E62D6"/>
    <w:rsid w:val="005F0FBF"/>
    <w:rsid w:val="005F5562"/>
    <w:rsid w:val="005F7FD8"/>
    <w:rsid w:val="006014A0"/>
    <w:rsid w:val="00607ACB"/>
    <w:rsid w:val="006131E0"/>
    <w:rsid w:val="006147C9"/>
    <w:rsid w:val="00614971"/>
    <w:rsid w:val="0061604D"/>
    <w:rsid w:val="00620184"/>
    <w:rsid w:val="00620BB4"/>
    <w:rsid w:val="00620D5C"/>
    <w:rsid w:val="006210F6"/>
    <w:rsid w:val="006215AA"/>
    <w:rsid w:val="00621C7A"/>
    <w:rsid w:val="00627218"/>
    <w:rsid w:val="00630236"/>
    <w:rsid w:val="00632E40"/>
    <w:rsid w:val="006345F9"/>
    <w:rsid w:val="00635030"/>
    <w:rsid w:val="006350CD"/>
    <w:rsid w:val="006355D1"/>
    <w:rsid w:val="00635DD4"/>
    <w:rsid w:val="00637692"/>
    <w:rsid w:val="00642761"/>
    <w:rsid w:val="0064704A"/>
    <w:rsid w:val="00647471"/>
    <w:rsid w:val="00652713"/>
    <w:rsid w:val="00652F1B"/>
    <w:rsid w:val="00654725"/>
    <w:rsid w:val="00660F49"/>
    <w:rsid w:val="0066344D"/>
    <w:rsid w:val="00663545"/>
    <w:rsid w:val="00664D3F"/>
    <w:rsid w:val="00664FD8"/>
    <w:rsid w:val="0066696C"/>
    <w:rsid w:val="0067077B"/>
    <w:rsid w:val="00671F9D"/>
    <w:rsid w:val="006728CE"/>
    <w:rsid w:val="00674B63"/>
    <w:rsid w:val="00675E42"/>
    <w:rsid w:val="006804BA"/>
    <w:rsid w:val="0068646B"/>
    <w:rsid w:val="00686A6D"/>
    <w:rsid w:val="006916AD"/>
    <w:rsid w:val="00692D3E"/>
    <w:rsid w:val="00694B4F"/>
    <w:rsid w:val="006A118D"/>
    <w:rsid w:val="006A1B4A"/>
    <w:rsid w:val="006A3972"/>
    <w:rsid w:val="006A703D"/>
    <w:rsid w:val="006A712D"/>
    <w:rsid w:val="006B0457"/>
    <w:rsid w:val="006B6C8F"/>
    <w:rsid w:val="006B7495"/>
    <w:rsid w:val="006C2F6B"/>
    <w:rsid w:val="006C5899"/>
    <w:rsid w:val="006C68A4"/>
    <w:rsid w:val="006D058E"/>
    <w:rsid w:val="006D27A6"/>
    <w:rsid w:val="006D29EB"/>
    <w:rsid w:val="006D3E6A"/>
    <w:rsid w:val="006D3EE7"/>
    <w:rsid w:val="006D6960"/>
    <w:rsid w:val="006D69B5"/>
    <w:rsid w:val="006E101D"/>
    <w:rsid w:val="006E197A"/>
    <w:rsid w:val="006E3B46"/>
    <w:rsid w:val="006E555D"/>
    <w:rsid w:val="006E634F"/>
    <w:rsid w:val="006E6F8C"/>
    <w:rsid w:val="006E75A0"/>
    <w:rsid w:val="006E76BE"/>
    <w:rsid w:val="006F0918"/>
    <w:rsid w:val="006F11C9"/>
    <w:rsid w:val="006F4668"/>
    <w:rsid w:val="006F55C5"/>
    <w:rsid w:val="006F56A2"/>
    <w:rsid w:val="006F6E04"/>
    <w:rsid w:val="0070235B"/>
    <w:rsid w:val="00703B21"/>
    <w:rsid w:val="00705AD6"/>
    <w:rsid w:val="00705D99"/>
    <w:rsid w:val="007072A3"/>
    <w:rsid w:val="00714559"/>
    <w:rsid w:val="00716A18"/>
    <w:rsid w:val="00716D88"/>
    <w:rsid w:val="00717216"/>
    <w:rsid w:val="00720804"/>
    <w:rsid w:val="00722F56"/>
    <w:rsid w:val="007230AB"/>
    <w:rsid w:val="0072339D"/>
    <w:rsid w:val="00727AE7"/>
    <w:rsid w:val="00731D1C"/>
    <w:rsid w:val="00732C6B"/>
    <w:rsid w:val="007343B8"/>
    <w:rsid w:val="00736715"/>
    <w:rsid w:val="0073738F"/>
    <w:rsid w:val="00737F4C"/>
    <w:rsid w:val="0074150C"/>
    <w:rsid w:val="00741BB7"/>
    <w:rsid w:val="00742571"/>
    <w:rsid w:val="00742F4B"/>
    <w:rsid w:val="00744852"/>
    <w:rsid w:val="00747245"/>
    <w:rsid w:val="0074772F"/>
    <w:rsid w:val="00747E6E"/>
    <w:rsid w:val="00754E05"/>
    <w:rsid w:val="00755067"/>
    <w:rsid w:val="007600FA"/>
    <w:rsid w:val="0076093D"/>
    <w:rsid w:val="007613C2"/>
    <w:rsid w:val="0076173A"/>
    <w:rsid w:val="0076189B"/>
    <w:rsid w:val="00761DA0"/>
    <w:rsid w:val="00761F6C"/>
    <w:rsid w:val="007622D7"/>
    <w:rsid w:val="00771EE9"/>
    <w:rsid w:val="00774C55"/>
    <w:rsid w:val="00776C0A"/>
    <w:rsid w:val="007825F2"/>
    <w:rsid w:val="00783D57"/>
    <w:rsid w:val="00784193"/>
    <w:rsid w:val="0078479E"/>
    <w:rsid w:val="00784A3C"/>
    <w:rsid w:val="007879DE"/>
    <w:rsid w:val="00792C84"/>
    <w:rsid w:val="00793BD7"/>
    <w:rsid w:val="0079466D"/>
    <w:rsid w:val="007A4195"/>
    <w:rsid w:val="007A6225"/>
    <w:rsid w:val="007A6C36"/>
    <w:rsid w:val="007A6E4D"/>
    <w:rsid w:val="007A7F5D"/>
    <w:rsid w:val="007B16C0"/>
    <w:rsid w:val="007B22A8"/>
    <w:rsid w:val="007B340E"/>
    <w:rsid w:val="007B4365"/>
    <w:rsid w:val="007B6953"/>
    <w:rsid w:val="007B7784"/>
    <w:rsid w:val="007C0C14"/>
    <w:rsid w:val="007C1094"/>
    <w:rsid w:val="007C2562"/>
    <w:rsid w:val="007C3CD0"/>
    <w:rsid w:val="007C65B6"/>
    <w:rsid w:val="007D113C"/>
    <w:rsid w:val="007D4EB7"/>
    <w:rsid w:val="007D6F47"/>
    <w:rsid w:val="007E013D"/>
    <w:rsid w:val="007E0975"/>
    <w:rsid w:val="007E29C3"/>
    <w:rsid w:val="007E2B59"/>
    <w:rsid w:val="007E36BD"/>
    <w:rsid w:val="007E36E4"/>
    <w:rsid w:val="007E55A7"/>
    <w:rsid w:val="007E5E07"/>
    <w:rsid w:val="007E7046"/>
    <w:rsid w:val="007F0D32"/>
    <w:rsid w:val="007F4210"/>
    <w:rsid w:val="007F4ACD"/>
    <w:rsid w:val="007F53C0"/>
    <w:rsid w:val="007F61E3"/>
    <w:rsid w:val="007F7FDD"/>
    <w:rsid w:val="00802B4C"/>
    <w:rsid w:val="00805D60"/>
    <w:rsid w:val="0080603C"/>
    <w:rsid w:val="0081034F"/>
    <w:rsid w:val="008114CA"/>
    <w:rsid w:val="00811E15"/>
    <w:rsid w:val="008139FB"/>
    <w:rsid w:val="00814D91"/>
    <w:rsid w:val="00825F31"/>
    <w:rsid w:val="008265A2"/>
    <w:rsid w:val="008266F6"/>
    <w:rsid w:val="00831D8A"/>
    <w:rsid w:val="00831F3D"/>
    <w:rsid w:val="00833455"/>
    <w:rsid w:val="00836297"/>
    <w:rsid w:val="00841C36"/>
    <w:rsid w:val="008420DD"/>
    <w:rsid w:val="008455D6"/>
    <w:rsid w:val="00847719"/>
    <w:rsid w:val="00851867"/>
    <w:rsid w:val="00851C70"/>
    <w:rsid w:val="008616B9"/>
    <w:rsid w:val="008634F9"/>
    <w:rsid w:val="008639BF"/>
    <w:rsid w:val="0086548C"/>
    <w:rsid w:val="00865AFA"/>
    <w:rsid w:val="0086623B"/>
    <w:rsid w:val="00870D18"/>
    <w:rsid w:val="00873C4C"/>
    <w:rsid w:val="00873F75"/>
    <w:rsid w:val="00875BF2"/>
    <w:rsid w:val="00880EED"/>
    <w:rsid w:val="0088159C"/>
    <w:rsid w:val="0088211A"/>
    <w:rsid w:val="00884F56"/>
    <w:rsid w:val="008854F6"/>
    <w:rsid w:val="00886667"/>
    <w:rsid w:val="00886BC4"/>
    <w:rsid w:val="00887D75"/>
    <w:rsid w:val="008972E4"/>
    <w:rsid w:val="008A02F3"/>
    <w:rsid w:val="008A0BC9"/>
    <w:rsid w:val="008A1C1D"/>
    <w:rsid w:val="008A3924"/>
    <w:rsid w:val="008A4326"/>
    <w:rsid w:val="008A48CA"/>
    <w:rsid w:val="008A5A0E"/>
    <w:rsid w:val="008A65F6"/>
    <w:rsid w:val="008A7FFD"/>
    <w:rsid w:val="008B2938"/>
    <w:rsid w:val="008B2A87"/>
    <w:rsid w:val="008B35CD"/>
    <w:rsid w:val="008B395C"/>
    <w:rsid w:val="008C2579"/>
    <w:rsid w:val="008C2E52"/>
    <w:rsid w:val="008C5773"/>
    <w:rsid w:val="008C57E6"/>
    <w:rsid w:val="008C6016"/>
    <w:rsid w:val="008C64CC"/>
    <w:rsid w:val="008C6C6D"/>
    <w:rsid w:val="008D0CA6"/>
    <w:rsid w:val="008D20CA"/>
    <w:rsid w:val="008D4CD0"/>
    <w:rsid w:val="008D5358"/>
    <w:rsid w:val="008E0180"/>
    <w:rsid w:val="008E04BD"/>
    <w:rsid w:val="008E2697"/>
    <w:rsid w:val="008E32A5"/>
    <w:rsid w:val="008E35A5"/>
    <w:rsid w:val="008E5250"/>
    <w:rsid w:val="008E5751"/>
    <w:rsid w:val="008E6D93"/>
    <w:rsid w:val="008E70E5"/>
    <w:rsid w:val="008F0180"/>
    <w:rsid w:val="008F0B15"/>
    <w:rsid w:val="008F1AA6"/>
    <w:rsid w:val="008F2212"/>
    <w:rsid w:val="008F73C8"/>
    <w:rsid w:val="008F7E69"/>
    <w:rsid w:val="0090062D"/>
    <w:rsid w:val="00903786"/>
    <w:rsid w:val="00903AB2"/>
    <w:rsid w:val="009041B4"/>
    <w:rsid w:val="0090555C"/>
    <w:rsid w:val="00905F29"/>
    <w:rsid w:val="0090719E"/>
    <w:rsid w:val="00907273"/>
    <w:rsid w:val="00907367"/>
    <w:rsid w:val="009109AA"/>
    <w:rsid w:val="00912A17"/>
    <w:rsid w:val="0091580E"/>
    <w:rsid w:val="009160CB"/>
    <w:rsid w:val="009214D7"/>
    <w:rsid w:val="00921B70"/>
    <w:rsid w:val="009220B1"/>
    <w:rsid w:val="00926879"/>
    <w:rsid w:val="009268D8"/>
    <w:rsid w:val="00926EDA"/>
    <w:rsid w:val="00933317"/>
    <w:rsid w:val="00933C8C"/>
    <w:rsid w:val="009350C6"/>
    <w:rsid w:val="009367F6"/>
    <w:rsid w:val="0093741D"/>
    <w:rsid w:val="00942CB3"/>
    <w:rsid w:val="00944174"/>
    <w:rsid w:val="00951652"/>
    <w:rsid w:val="00952F2F"/>
    <w:rsid w:val="009603C0"/>
    <w:rsid w:val="00963D9F"/>
    <w:rsid w:val="00964FA3"/>
    <w:rsid w:val="00965853"/>
    <w:rsid w:val="00965C4B"/>
    <w:rsid w:val="009678A2"/>
    <w:rsid w:val="00970E40"/>
    <w:rsid w:val="00973CA1"/>
    <w:rsid w:val="009757BB"/>
    <w:rsid w:val="0097640D"/>
    <w:rsid w:val="0098151F"/>
    <w:rsid w:val="009849A4"/>
    <w:rsid w:val="00986264"/>
    <w:rsid w:val="0098640A"/>
    <w:rsid w:val="00986A46"/>
    <w:rsid w:val="00986E53"/>
    <w:rsid w:val="009906A6"/>
    <w:rsid w:val="0099247F"/>
    <w:rsid w:val="00992ADC"/>
    <w:rsid w:val="009941FE"/>
    <w:rsid w:val="00994652"/>
    <w:rsid w:val="009A1DC6"/>
    <w:rsid w:val="009A2197"/>
    <w:rsid w:val="009A3179"/>
    <w:rsid w:val="009A5321"/>
    <w:rsid w:val="009A6D32"/>
    <w:rsid w:val="009A6E22"/>
    <w:rsid w:val="009A71C4"/>
    <w:rsid w:val="009B15EC"/>
    <w:rsid w:val="009B1781"/>
    <w:rsid w:val="009B2546"/>
    <w:rsid w:val="009B3184"/>
    <w:rsid w:val="009B369B"/>
    <w:rsid w:val="009B464D"/>
    <w:rsid w:val="009B4FDD"/>
    <w:rsid w:val="009C1F90"/>
    <w:rsid w:val="009C3463"/>
    <w:rsid w:val="009C44C8"/>
    <w:rsid w:val="009C547C"/>
    <w:rsid w:val="009C66A3"/>
    <w:rsid w:val="009C6A0C"/>
    <w:rsid w:val="009D4170"/>
    <w:rsid w:val="009D616A"/>
    <w:rsid w:val="009E4125"/>
    <w:rsid w:val="009E6061"/>
    <w:rsid w:val="009F7627"/>
    <w:rsid w:val="009F7CC4"/>
    <w:rsid w:val="009F7F7A"/>
    <w:rsid w:val="00A01086"/>
    <w:rsid w:val="00A0193D"/>
    <w:rsid w:val="00A028FC"/>
    <w:rsid w:val="00A03D34"/>
    <w:rsid w:val="00A058C9"/>
    <w:rsid w:val="00A05E57"/>
    <w:rsid w:val="00A06CBF"/>
    <w:rsid w:val="00A100AB"/>
    <w:rsid w:val="00A1120D"/>
    <w:rsid w:val="00A12D16"/>
    <w:rsid w:val="00A13CB3"/>
    <w:rsid w:val="00A13F0D"/>
    <w:rsid w:val="00A14B31"/>
    <w:rsid w:val="00A15DB7"/>
    <w:rsid w:val="00A17503"/>
    <w:rsid w:val="00A20D98"/>
    <w:rsid w:val="00A215B3"/>
    <w:rsid w:val="00A22C64"/>
    <w:rsid w:val="00A23329"/>
    <w:rsid w:val="00A24D20"/>
    <w:rsid w:val="00A31DA2"/>
    <w:rsid w:val="00A32C4E"/>
    <w:rsid w:val="00A33AA2"/>
    <w:rsid w:val="00A3452B"/>
    <w:rsid w:val="00A37369"/>
    <w:rsid w:val="00A446C5"/>
    <w:rsid w:val="00A44958"/>
    <w:rsid w:val="00A46A9A"/>
    <w:rsid w:val="00A46DF9"/>
    <w:rsid w:val="00A50111"/>
    <w:rsid w:val="00A506B3"/>
    <w:rsid w:val="00A52C22"/>
    <w:rsid w:val="00A53668"/>
    <w:rsid w:val="00A54DB3"/>
    <w:rsid w:val="00A568AC"/>
    <w:rsid w:val="00A60022"/>
    <w:rsid w:val="00A6123B"/>
    <w:rsid w:val="00A63019"/>
    <w:rsid w:val="00A63C05"/>
    <w:rsid w:val="00A6514E"/>
    <w:rsid w:val="00A70EC9"/>
    <w:rsid w:val="00A72578"/>
    <w:rsid w:val="00A8449C"/>
    <w:rsid w:val="00A84C3C"/>
    <w:rsid w:val="00A854D6"/>
    <w:rsid w:val="00A85D01"/>
    <w:rsid w:val="00A871DE"/>
    <w:rsid w:val="00A87F4B"/>
    <w:rsid w:val="00A909A3"/>
    <w:rsid w:val="00A91BD2"/>
    <w:rsid w:val="00A9289E"/>
    <w:rsid w:val="00A92B38"/>
    <w:rsid w:val="00A940BE"/>
    <w:rsid w:val="00A95B8D"/>
    <w:rsid w:val="00A96316"/>
    <w:rsid w:val="00A9658A"/>
    <w:rsid w:val="00A970ED"/>
    <w:rsid w:val="00A9761D"/>
    <w:rsid w:val="00AA3975"/>
    <w:rsid w:val="00AA3C1B"/>
    <w:rsid w:val="00AA553F"/>
    <w:rsid w:val="00AA7568"/>
    <w:rsid w:val="00AB166B"/>
    <w:rsid w:val="00AB271F"/>
    <w:rsid w:val="00AB378E"/>
    <w:rsid w:val="00AB3D33"/>
    <w:rsid w:val="00AB5FA2"/>
    <w:rsid w:val="00AB6F88"/>
    <w:rsid w:val="00AB77BA"/>
    <w:rsid w:val="00AC0396"/>
    <w:rsid w:val="00AC1B27"/>
    <w:rsid w:val="00AC1FFD"/>
    <w:rsid w:val="00AC4183"/>
    <w:rsid w:val="00AC4C62"/>
    <w:rsid w:val="00AC60D4"/>
    <w:rsid w:val="00AD0BA3"/>
    <w:rsid w:val="00AD502E"/>
    <w:rsid w:val="00AE39EE"/>
    <w:rsid w:val="00AE53E5"/>
    <w:rsid w:val="00AF1B48"/>
    <w:rsid w:val="00AF32FC"/>
    <w:rsid w:val="00AF6F87"/>
    <w:rsid w:val="00B01A1B"/>
    <w:rsid w:val="00B06136"/>
    <w:rsid w:val="00B071EF"/>
    <w:rsid w:val="00B103AA"/>
    <w:rsid w:val="00B129C3"/>
    <w:rsid w:val="00B15125"/>
    <w:rsid w:val="00B15642"/>
    <w:rsid w:val="00B15B29"/>
    <w:rsid w:val="00B15B56"/>
    <w:rsid w:val="00B17111"/>
    <w:rsid w:val="00B20408"/>
    <w:rsid w:val="00B207B8"/>
    <w:rsid w:val="00B2134E"/>
    <w:rsid w:val="00B239FD"/>
    <w:rsid w:val="00B24C1C"/>
    <w:rsid w:val="00B27BA5"/>
    <w:rsid w:val="00B32830"/>
    <w:rsid w:val="00B33997"/>
    <w:rsid w:val="00B340D2"/>
    <w:rsid w:val="00B36A41"/>
    <w:rsid w:val="00B374C7"/>
    <w:rsid w:val="00B41276"/>
    <w:rsid w:val="00B42B7A"/>
    <w:rsid w:val="00B42FAF"/>
    <w:rsid w:val="00B453E5"/>
    <w:rsid w:val="00B50FEA"/>
    <w:rsid w:val="00B51175"/>
    <w:rsid w:val="00B512B7"/>
    <w:rsid w:val="00B5397C"/>
    <w:rsid w:val="00B54403"/>
    <w:rsid w:val="00B54FA9"/>
    <w:rsid w:val="00B56E02"/>
    <w:rsid w:val="00B57073"/>
    <w:rsid w:val="00B57678"/>
    <w:rsid w:val="00B57B0B"/>
    <w:rsid w:val="00B64308"/>
    <w:rsid w:val="00B66CAC"/>
    <w:rsid w:val="00B71F1D"/>
    <w:rsid w:val="00B71F74"/>
    <w:rsid w:val="00B73C23"/>
    <w:rsid w:val="00B7611E"/>
    <w:rsid w:val="00B771FF"/>
    <w:rsid w:val="00B77F92"/>
    <w:rsid w:val="00B82C45"/>
    <w:rsid w:val="00B84473"/>
    <w:rsid w:val="00B8691A"/>
    <w:rsid w:val="00B87AA0"/>
    <w:rsid w:val="00B91AF5"/>
    <w:rsid w:val="00B957FE"/>
    <w:rsid w:val="00B96017"/>
    <w:rsid w:val="00BA054F"/>
    <w:rsid w:val="00BA08C7"/>
    <w:rsid w:val="00BA123B"/>
    <w:rsid w:val="00BA1CC2"/>
    <w:rsid w:val="00BA2F23"/>
    <w:rsid w:val="00BA3721"/>
    <w:rsid w:val="00BA3752"/>
    <w:rsid w:val="00BA4842"/>
    <w:rsid w:val="00BA578B"/>
    <w:rsid w:val="00BA6C76"/>
    <w:rsid w:val="00BA7802"/>
    <w:rsid w:val="00BA7B6A"/>
    <w:rsid w:val="00BB059B"/>
    <w:rsid w:val="00BB22AC"/>
    <w:rsid w:val="00BB4B21"/>
    <w:rsid w:val="00BB6E71"/>
    <w:rsid w:val="00BD0739"/>
    <w:rsid w:val="00BD3C26"/>
    <w:rsid w:val="00BD61A5"/>
    <w:rsid w:val="00BD6E81"/>
    <w:rsid w:val="00BD7EA0"/>
    <w:rsid w:val="00BE05DD"/>
    <w:rsid w:val="00BE0F1F"/>
    <w:rsid w:val="00BE0FD3"/>
    <w:rsid w:val="00BE2210"/>
    <w:rsid w:val="00BE2309"/>
    <w:rsid w:val="00BE5AC7"/>
    <w:rsid w:val="00BE5FE6"/>
    <w:rsid w:val="00BF0CD1"/>
    <w:rsid w:val="00BF103D"/>
    <w:rsid w:val="00BF3E58"/>
    <w:rsid w:val="00BF4A8E"/>
    <w:rsid w:val="00BF73E4"/>
    <w:rsid w:val="00BF75D8"/>
    <w:rsid w:val="00C01B7C"/>
    <w:rsid w:val="00C05AFB"/>
    <w:rsid w:val="00C05F3E"/>
    <w:rsid w:val="00C0628D"/>
    <w:rsid w:val="00C1050A"/>
    <w:rsid w:val="00C13B6B"/>
    <w:rsid w:val="00C17ACD"/>
    <w:rsid w:val="00C2129A"/>
    <w:rsid w:val="00C23C8C"/>
    <w:rsid w:val="00C24B10"/>
    <w:rsid w:val="00C25FF1"/>
    <w:rsid w:val="00C279AA"/>
    <w:rsid w:val="00C3042D"/>
    <w:rsid w:val="00C3405B"/>
    <w:rsid w:val="00C362B7"/>
    <w:rsid w:val="00C3693F"/>
    <w:rsid w:val="00C372DA"/>
    <w:rsid w:val="00C37A6A"/>
    <w:rsid w:val="00C436B8"/>
    <w:rsid w:val="00C443D7"/>
    <w:rsid w:val="00C457B2"/>
    <w:rsid w:val="00C4779B"/>
    <w:rsid w:val="00C4790D"/>
    <w:rsid w:val="00C47C9A"/>
    <w:rsid w:val="00C512E8"/>
    <w:rsid w:val="00C53B6F"/>
    <w:rsid w:val="00C5418D"/>
    <w:rsid w:val="00C601CB"/>
    <w:rsid w:val="00C620FD"/>
    <w:rsid w:val="00C639E4"/>
    <w:rsid w:val="00C63C51"/>
    <w:rsid w:val="00C676CD"/>
    <w:rsid w:val="00C67F17"/>
    <w:rsid w:val="00C71CED"/>
    <w:rsid w:val="00C73070"/>
    <w:rsid w:val="00C73CCE"/>
    <w:rsid w:val="00C76E7C"/>
    <w:rsid w:val="00C778C6"/>
    <w:rsid w:val="00C80C62"/>
    <w:rsid w:val="00C82A8A"/>
    <w:rsid w:val="00C84708"/>
    <w:rsid w:val="00C8634C"/>
    <w:rsid w:val="00C86972"/>
    <w:rsid w:val="00C94AD1"/>
    <w:rsid w:val="00C95BC2"/>
    <w:rsid w:val="00CA0267"/>
    <w:rsid w:val="00CA0FC1"/>
    <w:rsid w:val="00CA0FE4"/>
    <w:rsid w:val="00CA168B"/>
    <w:rsid w:val="00CA3AC9"/>
    <w:rsid w:val="00CA4694"/>
    <w:rsid w:val="00CA4C22"/>
    <w:rsid w:val="00CA559D"/>
    <w:rsid w:val="00CB032B"/>
    <w:rsid w:val="00CB0554"/>
    <w:rsid w:val="00CC1136"/>
    <w:rsid w:val="00CC4F59"/>
    <w:rsid w:val="00CC5606"/>
    <w:rsid w:val="00CC64B4"/>
    <w:rsid w:val="00CC6F21"/>
    <w:rsid w:val="00CC7437"/>
    <w:rsid w:val="00CC74F7"/>
    <w:rsid w:val="00CD02A5"/>
    <w:rsid w:val="00CD088F"/>
    <w:rsid w:val="00CD0C7F"/>
    <w:rsid w:val="00CD1606"/>
    <w:rsid w:val="00CD2089"/>
    <w:rsid w:val="00CD2DD9"/>
    <w:rsid w:val="00CD2F3F"/>
    <w:rsid w:val="00CD3D61"/>
    <w:rsid w:val="00CD4795"/>
    <w:rsid w:val="00CD7A5E"/>
    <w:rsid w:val="00CD7F0B"/>
    <w:rsid w:val="00CF1EA3"/>
    <w:rsid w:val="00CF3A30"/>
    <w:rsid w:val="00CF5A2D"/>
    <w:rsid w:val="00CF62CD"/>
    <w:rsid w:val="00D001E9"/>
    <w:rsid w:val="00D044DC"/>
    <w:rsid w:val="00D05A02"/>
    <w:rsid w:val="00D06616"/>
    <w:rsid w:val="00D0725D"/>
    <w:rsid w:val="00D11F38"/>
    <w:rsid w:val="00D11F49"/>
    <w:rsid w:val="00D12857"/>
    <w:rsid w:val="00D17467"/>
    <w:rsid w:val="00D2150F"/>
    <w:rsid w:val="00D215DF"/>
    <w:rsid w:val="00D22D1A"/>
    <w:rsid w:val="00D237F5"/>
    <w:rsid w:val="00D2431B"/>
    <w:rsid w:val="00D2672D"/>
    <w:rsid w:val="00D31408"/>
    <w:rsid w:val="00D32087"/>
    <w:rsid w:val="00D33AD7"/>
    <w:rsid w:val="00D33E3B"/>
    <w:rsid w:val="00D34BC8"/>
    <w:rsid w:val="00D3549D"/>
    <w:rsid w:val="00D35D90"/>
    <w:rsid w:val="00D37331"/>
    <w:rsid w:val="00D40B85"/>
    <w:rsid w:val="00D4171B"/>
    <w:rsid w:val="00D4274A"/>
    <w:rsid w:val="00D42A8F"/>
    <w:rsid w:val="00D47ECF"/>
    <w:rsid w:val="00D5070C"/>
    <w:rsid w:val="00D51F8D"/>
    <w:rsid w:val="00D535AC"/>
    <w:rsid w:val="00D555C7"/>
    <w:rsid w:val="00D56659"/>
    <w:rsid w:val="00D566F4"/>
    <w:rsid w:val="00D60855"/>
    <w:rsid w:val="00D621F5"/>
    <w:rsid w:val="00D63A7E"/>
    <w:rsid w:val="00D71546"/>
    <w:rsid w:val="00D73C66"/>
    <w:rsid w:val="00D77C18"/>
    <w:rsid w:val="00D81F86"/>
    <w:rsid w:val="00D842DC"/>
    <w:rsid w:val="00D85BFA"/>
    <w:rsid w:val="00D874A2"/>
    <w:rsid w:val="00D951DC"/>
    <w:rsid w:val="00D967E8"/>
    <w:rsid w:val="00D96A8C"/>
    <w:rsid w:val="00DA083F"/>
    <w:rsid w:val="00DA2BEC"/>
    <w:rsid w:val="00DA5405"/>
    <w:rsid w:val="00DA717B"/>
    <w:rsid w:val="00DC075C"/>
    <w:rsid w:val="00DC466C"/>
    <w:rsid w:val="00DC4FA0"/>
    <w:rsid w:val="00DC5372"/>
    <w:rsid w:val="00DC6FBB"/>
    <w:rsid w:val="00DD12F8"/>
    <w:rsid w:val="00DD48D9"/>
    <w:rsid w:val="00DD4CA4"/>
    <w:rsid w:val="00DD5727"/>
    <w:rsid w:val="00DD5D38"/>
    <w:rsid w:val="00DE05FE"/>
    <w:rsid w:val="00DE2C0E"/>
    <w:rsid w:val="00DE5EE8"/>
    <w:rsid w:val="00DE7272"/>
    <w:rsid w:val="00DE74EC"/>
    <w:rsid w:val="00DF0B01"/>
    <w:rsid w:val="00DF0ED6"/>
    <w:rsid w:val="00DF2AFD"/>
    <w:rsid w:val="00DF4571"/>
    <w:rsid w:val="00DF56B6"/>
    <w:rsid w:val="00DF5A46"/>
    <w:rsid w:val="00DF612B"/>
    <w:rsid w:val="00E0040D"/>
    <w:rsid w:val="00E0245D"/>
    <w:rsid w:val="00E02738"/>
    <w:rsid w:val="00E10B5B"/>
    <w:rsid w:val="00E11105"/>
    <w:rsid w:val="00E12007"/>
    <w:rsid w:val="00E148F6"/>
    <w:rsid w:val="00E16939"/>
    <w:rsid w:val="00E1766A"/>
    <w:rsid w:val="00E17D37"/>
    <w:rsid w:val="00E25BC9"/>
    <w:rsid w:val="00E26152"/>
    <w:rsid w:val="00E267E6"/>
    <w:rsid w:val="00E30B63"/>
    <w:rsid w:val="00E32358"/>
    <w:rsid w:val="00E34501"/>
    <w:rsid w:val="00E35B8F"/>
    <w:rsid w:val="00E36790"/>
    <w:rsid w:val="00E40078"/>
    <w:rsid w:val="00E41517"/>
    <w:rsid w:val="00E4461B"/>
    <w:rsid w:val="00E4520C"/>
    <w:rsid w:val="00E52550"/>
    <w:rsid w:val="00E62931"/>
    <w:rsid w:val="00E62B01"/>
    <w:rsid w:val="00E63184"/>
    <w:rsid w:val="00E64B67"/>
    <w:rsid w:val="00E669CD"/>
    <w:rsid w:val="00E70894"/>
    <w:rsid w:val="00E70A2C"/>
    <w:rsid w:val="00E72B6C"/>
    <w:rsid w:val="00E7404B"/>
    <w:rsid w:val="00E75679"/>
    <w:rsid w:val="00E81A92"/>
    <w:rsid w:val="00E838B7"/>
    <w:rsid w:val="00E83A1D"/>
    <w:rsid w:val="00E847A7"/>
    <w:rsid w:val="00E85623"/>
    <w:rsid w:val="00E85752"/>
    <w:rsid w:val="00E85FF2"/>
    <w:rsid w:val="00E86CBA"/>
    <w:rsid w:val="00E90590"/>
    <w:rsid w:val="00E90E39"/>
    <w:rsid w:val="00E92BE2"/>
    <w:rsid w:val="00E93C25"/>
    <w:rsid w:val="00EA1F08"/>
    <w:rsid w:val="00EA3A79"/>
    <w:rsid w:val="00EA5C46"/>
    <w:rsid w:val="00EA5D8D"/>
    <w:rsid w:val="00EB0AF9"/>
    <w:rsid w:val="00EB0EA4"/>
    <w:rsid w:val="00EB1557"/>
    <w:rsid w:val="00EB4B5F"/>
    <w:rsid w:val="00EC16E3"/>
    <w:rsid w:val="00EC2A56"/>
    <w:rsid w:val="00EC4652"/>
    <w:rsid w:val="00EC537D"/>
    <w:rsid w:val="00EC6F25"/>
    <w:rsid w:val="00ED3522"/>
    <w:rsid w:val="00EE1132"/>
    <w:rsid w:val="00EE1DAB"/>
    <w:rsid w:val="00EE36F8"/>
    <w:rsid w:val="00EE465D"/>
    <w:rsid w:val="00EE4B55"/>
    <w:rsid w:val="00EE570F"/>
    <w:rsid w:val="00EE5F89"/>
    <w:rsid w:val="00EE603D"/>
    <w:rsid w:val="00EF1B2D"/>
    <w:rsid w:val="00EF2307"/>
    <w:rsid w:val="00EF3C30"/>
    <w:rsid w:val="00EF3F8F"/>
    <w:rsid w:val="00EF4CEE"/>
    <w:rsid w:val="00EF4EFA"/>
    <w:rsid w:val="00EF7763"/>
    <w:rsid w:val="00F0026C"/>
    <w:rsid w:val="00F0196A"/>
    <w:rsid w:val="00F07B2D"/>
    <w:rsid w:val="00F12D97"/>
    <w:rsid w:val="00F1386F"/>
    <w:rsid w:val="00F14496"/>
    <w:rsid w:val="00F172EE"/>
    <w:rsid w:val="00F22FC2"/>
    <w:rsid w:val="00F248B6"/>
    <w:rsid w:val="00F31637"/>
    <w:rsid w:val="00F328F5"/>
    <w:rsid w:val="00F33B9F"/>
    <w:rsid w:val="00F3510B"/>
    <w:rsid w:val="00F35341"/>
    <w:rsid w:val="00F36CA5"/>
    <w:rsid w:val="00F36D97"/>
    <w:rsid w:val="00F3751B"/>
    <w:rsid w:val="00F41932"/>
    <w:rsid w:val="00F439E8"/>
    <w:rsid w:val="00F44C22"/>
    <w:rsid w:val="00F45C8C"/>
    <w:rsid w:val="00F47691"/>
    <w:rsid w:val="00F4789A"/>
    <w:rsid w:val="00F47A7F"/>
    <w:rsid w:val="00F51C00"/>
    <w:rsid w:val="00F51FDE"/>
    <w:rsid w:val="00F5258B"/>
    <w:rsid w:val="00F57A22"/>
    <w:rsid w:val="00F60DA7"/>
    <w:rsid w:val="00F61364"/>
    <w:rsid w:val="00F614C4"/>
    <w:rsid w:val="00F61E2F"/>
    <w:rsid w:val="00F62A34"/>
    <w:rsid w:val="00F7256C"/>
    <w:rsid w:val="00F72FA0"/>
    <w:rsid w:val="00F75A59"/>
    <w:rsid w:val="00F7650A"/>
    <w:rsid w:val="00F80F3D"/>
    <w:rsid w:val="00F86816"/>
    <w:rsid w:val="00F87683"/>
    <w:rsid w:val="00F95DDF"/>
    <w:rsid w:val="00F96108"/>
    <w:rsid w:val="00F971B9"/>
    <w:rsid w:val="00FA0451"/>
    <w:rsid w:val="00FA6574"/>
    <w:rsid w:val="00FA70A7"/>
    <w:rsid w:val="00FA7190"/>
    <w:rsid w:val="00FA7714"/>
    <w:rsid w:val="00FB06B5"/>
    <w:rsid w:val="00FB1679"/>
    <w:rsid w:val="00FB4C69"/>
    <w:rsid w:val="00FB5337"/>
    <w:rsid w:val="00FB5CD2"/>
    <w:rsid w:val="00FB5F1C"/>
    <w:rsid w:val="00FB6F63"/>
    <w:rsid w:val="00FB7AEB"/>
    <w:rsid w:val="00FC277B"/>
    <w:rsid w:val="00FC2874"/>
    <w:rsid w:val="00FC2CC8"/>
    <w:rsid w:val="00FC2E34"/>
    <w:rsid w:val="00FD06DF"/>
    <w:rsid w:val="00FD0B4D"/>
    <w:rsid w:val="00FD3BC0"/>
    <w:rsid w:val="00FE316C"/>
    <w:rsid w:val="00FE4A73"/>
    <w:rsid w:val="00FE6BE8"/>
    <w:rsid w:val="00FF223B"/>
    <w:rsid w:val="00FF4459"/>
    <w:rsid w:val="00FF4DDB"/>
    <w:rsid w:val="3A2854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8C30"/>
  <w15:docId w15:val="{57989A0D-5E78-4AF6-87B8-E56DA1A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styleId="TOC1">
    <w:name w:val="toc 1"/>
    <w:basedOn w:val="Normal"/>
    <w:next w:val="Normal"/>
    <w:autoRedefine/>
    <w:uiPriority w:val="39"/>
    <w:unhideWhenUsed/>
    <w:rsid w:val="00AC4183"/>
    <w:pPr>
      <w:spacing w:before="0" w:after="100" w:line="276" w:lineRule="auto"/>
    </w:pPr>
    <w:rPr>
      <w:rFonts w:asciiTheme="minorHAnsi" w:eastAsiaTheme="minorHAnsi" w:hAnsiTheme="minorHAnsi" w:cstheme="minorBidi"/>
      <w:noProof/>
      <w:szCs w:val="22"/>
      <w:lang w:eastAsia="en-US"/>
    </w:rPr>
  </w:style>
  <w:style w:type="paragraph" w:styleId="TOC2">
    <w:name w:val="toc 2"/>
    <w:basedOn w:val="Normal"/>
    <w:next w:val="Normal"/>
    <w:autoRedefine/>
    <w:uiPriority w:val="39"/>
    <w:unhideWhenUsed/>
    <w:rsid w:val="008266F6"/>
    <w:pPr>
      <w:tabs>
        <w:tab w:val="right" w:leader="dot" w:pos="9346"/>
      </w:tabs>
      <w:spacing w:before="0" w:after="100" w:line="276" w:lineRule="auto"/>
    </w:pPr>
    <w:rPr>
      <w:rFonts w:asciiTheme="minorHAnsi" w:eastAsiaTheme="minorHAnsi" w:hAnsiTheme="minorHAnsi" w:cstheme="minorBidi"/>
      <w:noProof/>
      <w:szCs w:val="22"/>
      <w:lang w:eastAsia="en-US"/>
    </w:rPr>
  </w:style>
  <w:style w:type="paragraph" w:customStyle="1" w:styleId="ChartandTableFootnote">
    <w:name w:val="Chart and Table Footnote"/>
    <w:basedOn w:val="Normal"/>
    <w:next w:val="Normal"/>
    <w:rsid w:val="00A028FC"/>
    <w:pPr>
      <w:tabs>
        <w:tab w:val="left" w:pos="709"/>
      </w:tabs>
      <w:spacing w:before="30" w:after="0"/>
      <w:ind w:left="709" w:hanging="709"/>
    </w:pPr>
    <w:rPr>
      <w:rFonts w:ascii="Arial" w:hAnsi="Arial"/>
      <w:color w:val="000000"/>
      <w:sz w:val="16"/>
    </w:rPr>
  </w:style>
  <w:style w:type="character" w:styleId="CommentReference">
    <w:name w:val="annotation reference"/>
    <w:basedOn w:val="DefaultParagraphFont"/>
    <w:uiPriority w:val="99"/>
    <w:semiHidden/>
    <w:unhideWhenUsed/>
    <w:rsid w:val="00D32087"/>
    <w:rPr>
      <w:sz w:val="16"/>
      <w:szCs w:val="16"/>
    </w:rPr>
  </w:style>
  <w:style w:type="paragraph" w:styleId="CommentText">
    <w:name w:val="annotation text"/>
    <w:basedOn w:val="Normal"/>
    <w:link w:val="CommentTextChar"/>
    <w:uiPriority w:val="99"/>
    <w:semiHidden/>
    <w:unhideWhenUsed/>
    <w:rsid w:val="00D32087"/>
    <w:rPr>
      <w:sz w:val="20"/>
    </w:rPr>
  </w:style>
  <w:style w:type="character" w:customStyle="1" w:styleId="CommentTextChar">
    <w:name w:val="Comment Text Char"/>
    <w:basedOn w:val="DefaultParagraphFont"/>
    <w:link w:val="CommentText"/>
    <w:uiPriority w:val="99"/>
    <w:semiHidden/>
    <w:rsid w:val="00D32087"/>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D32087"/>
    <w:rPr>
      <w:b/>
      <w:bCs/>
    </w:rPr>
  </w:style>
  <w:style w:type="character" w:customStyle="1" w:styleId="CommentSubjectChar">
    <w:name w:val="Comment Subject Char"/>
    <w:basedOn w:val="CommentTextChar"/>
    <w:link w:val="CommentSubject"/>
    <w:semiHidden/>
    <w:rsid w:val="00D32087"/>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D8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compliance/notification-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EE10557-62B0-4874-AA05-935B0B4809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2A9A4A265DA38478F4FD0F336720262" ma:contentTypeVersion="" ma:contentTypeDescription="PDMS Document Site Content Type" ma:contentTypeScope="" ma:versionID="f52b6ad4f794fa65046a5837ecdd1b11">
  <xsd:schema xmlns:xsd="http://www.w3.org/2001/XMLSchema" xmlns:xs="http://www.w3.org/2001/XMLSchema" xmlns:p="http://schemas.microsoft.com/office/2006/metadata/properties" xmlns:ns2="8EE10557-62B0-4874-AA05-935B0B48091C" targetNamespace="http://schemas.microsoft.com/office/2006/metadata/properties" ma:root="true" ma:fieldsID="a842439272347b795a056e763cd14ee8" ns2:_="">
    <xsd:import namespace="8EE10557-62B0-4874-AA05-935B0B48091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0557-62B0-4874-AA05-935B0B4809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2.xml><?xml version="1.0" encoding="utf-8"?>
<ds:datastoreItem xmlns:ds="http://schemas.openxmlformats.org/officeDocument/2006/customXml" ds:itemID="{EEBDE31F-B520-44F2-8A68-94E43F761CAD}">
  <ds:schemaRefs>
    <ds:schemaRef ds:uri="http://schemas.microsoft.com/office/2006/metadata/properties"/>
    <ds:schemaRef ds:uri="http://schemas.microsoft.com/office/infopath/2007/PartnerControls"/>
    <ds:schemaRef ds:uri="8EE10557-62B0-4874-AA05-935B0B48091C"/>
  </ds:schemaRefs>
</ds:datastoreItem>
</file>

<file path=customXml/itemProps3.xml><?xml version="1.0" encoding="utf-8"?>
<ds:datastoreItem xmlns:ds="http://schemas.openxmlformats.org/officeDocument/2006/customXml" ds:itemID="{EF725229-A737-49AE-A49D-C09D81E7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0557-62B0-4874-AA05-935B0B480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67418-0297-4D71-A533-F506C42DC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6743</Characters>
  <Application>Microsoft Office Word</Application>
  <DocSecurity>0</DocSecurity>
  <Lines>132</Lines>
  <Paragraphs>70</Paragraphs>
  <ScaleCrop>false</ScaleCrop>
  <HeadingPairs>
    <vt:vector size="2" baseType="variant">
      <vt:variant>
        <vt:lpstr>Title</vt:lpstr>
      </vt:variant>
      <vt:variant>
        <vt:i4>1</vt:i4>
      </vt:variant>
    </vt:vector>
  </HeadingPairs>
  <TitlesOfParts>
    <vt:vector size="1" baseType="lpstr">
      <vt:lpstr>Transitional guide: Register of Foreign Ownership of Australian Assets</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guide: Register of Foreign Ownership of Australian Assets</dc:title>
  <dc:subject/>
  <dc:creator>Treasury</dc:creator>
  <cp:keywords/>
  <dc:description/>
  <cp:lastModifiedBy>Thompson, Lynette</cp:lastModifiedBy>
  <cp:revision>4</cp:revision>
  <dcterms:created xsi:type="dcterms:W3CDTF">2023-08-17T00:42:00Z</dcterms:created>
  <dcterms:modified xsi:type="dcterms:W3CDTF">2023-08-28T07:20:00Z</dcterms:modified>
  <cp:category/>
</cp:coreProperties>
</file>