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DAD368" w14:textId="77777777" w:rsidR="008B4F60" w:rsidRDefault="00F97D4A" w:rsidP="008B4F60">
      <w:pPr>
        <w:pStyle w:val="Factsheettitle"/>
        <w:spacing w:before="1440" w:after="360"/>
      </w:pPr>
      <w:r w:rsidRPr="00F97D4A">
        <w:t>G</w:t>
      </w:r>
      <w:r>
        <w:t>uidance Note</w:t>
      </w:r>
      <w:r w:rsidR="00DD3940">
        <w:t xml:space="preserve"> </w:t>
      </w:r>
      <w:r w:rsidR="004E196A">
        <w:t>1</w:t>
      </w:r>
      <w:r w:rsidR="003F53AE">
        <w:t>1</w:t>
      </w:r>
    </w:p>
    <w:p w14:paraId="41C36436" w14:textId="7E96E32A" w:rsidR="00986A46" w:rsidRPr="006E76BE" w:rsidRDefault="008E0FAB" w:rsidP="008B4F60">
      <w:pPr>
        <w:pStyle w:val="Heading1"/>
      </w:pPr>
      <w:r w:rsidRPr="008E0FAB">
        <w:t>P</w:t>
      </w:r>
      <w:r>
        <w:t>rotecting the National Interest</w:t>
      </w:r>
      <w:r w:rsidR="004533FC">
        <w:t xml:space="preserve"> – </w:t>
      </w:r>
      <w:r w:rsidRPr="008E0FAB">
        <w:t>G</w:t>
      </w:r>
      <w:r>
        <w:t>uiding principles for developing conditions</w:t>
      </w:r>
    </w:p>
    <w:p w14:paraId="7CA919BE" w14:textId="77777777" w:rsidR="008B4F60" w:rsidRPr="008B4F60" w:rsidRDefault="008B4F60" w:rsidP="001123FF"/>
    <w:p w14:paraId="3DCBBAFC" w14:textId="131950DC" w:rsidR="00F373D5" w:rsidRPr="00436330" w:rsidRDefault="00F373D5" w:rsidP="008B4F60">
      <w:pPr>
        <w:pStyle w:val="Bullet"/>
      </w:pPr>
      <w:r w:rsidRPr="00436330">
        <w:rPr>
          <w:lang w:val="en"/>
        </w:rPr>
        <w:t xml:space="preserve">This Guidance Note explains the guiding principles for the </w:t>
      </w:r>
      <w:r w:rsidRPr="008B4F60">
        <w:t>development</w:t>
      </w:r>
      <w:r w:rsidRPr="00436330">
        <w:rPr>
          <w:lang w:val="en"/>
        </w:rPr>
        <w:t xml:space="preserve"> of advice to decision makers under the </w:t>
      </w:r>
      <w:r w:rsidRPr="00436330">
        <w:rPr>
          <w:i/>
          <w:lang w:val="en"/>
        </w:rPr>
        <w:t>Foreign Acquisitions and Takeovers Act 1975</w:t>
      </w:r>
      <w:r w:rsidRPr="00436330">
        <w:rPr>
          <w:lang w:val="en"/>
        </w:rPr>
        <w:t xml:space="preserve"> (the </w:t>
      </w:r>
      <w:r w:rsidRPr="00436330">
        <w:rPr>
          <w:b/>
          <w:lang w:val="en"/>
        </w:rPr>
        <w:t>Act</w:t>
      </w:r>
      <w:r w:rsidRPr="00436330">
        <w:rPr>
          <w:lang w:val="en"/>
        </w:rPr>
        <w:t>) relating to the imposition of conditions under section 74 of the Act</w:t>
      </w:r>
      <w:r w:rsidR="004533FC">
        <w:rPr>
          <w:lang w:val="en"/>
        </w:rPr>
        <w:t xml:space="preserve">. </w:t>
      </w:r>
    </w:p>
    <w:p w14:paraId="4BD12319" w14:textId="77777777" w:rsidR="00F373D5" w:rsidRPr="00436330" w:rsidRDefault="00F373D5" w:rsidP="008B4F60">
      <w:pPr>
        <w:pStyle w:val="Dash"/>
      </w:pPr>
      <w:r w:rsidRPr="00436330">
        <w:rPr>
          <w:lang w:val="en"/>
        </w:rPr>
        <w:t xml:space="preserve">The imposition of conditions on foreign investment proposals is </w:t>
      </w:r>
      <w:r w:rsidRPr="008B4F60">
        <w:t>guided</w:t>
      </w:r>
      <w:r w:rsidRPr="00436330">
        <w:rPr>
          <w:lang w:val="en"/>
        </w:rPr>
        <w:t xml:space="preserve"> by the need to facilitate foreign investment while protecting the national interest and balancing regulatory burden with compliance assurance outcomes</w:t>
      </w:r>
      <w:r w:rsidRPr="00436330">
        <w:t>.</w:t>
      </w:r>
    </w:p>
    <w:p w14:paraId="313C4FD9" w14:textId="54EB52CD" w:rsidR="00F373D5" w:rsidRPr="00436330" w:rsidRDefault="00F373D5" w:rsidP="008B4F60">
      <w:pPr>
        <w:pStyle w:val="Dash"/>
      </w:pPr>
      <w:r w:rsidRPr="00436330">
        <w:t xml:space="preserve">Where a decision is to be made in relation to an action of a </w:t>
      </w:r>
      <w:r w:rsidRPr="008B4F60">
        <w:t>type</w:t>
      </w:r>
      <w:r w:rsidRPr="00436330">
        <w:t xml:space="preserve"> identified in section 74(1A) of the Act, only factors relating to national security may be </w:t>
      </w:r>
      <w:proofErr w:type="gramStart"/>
      <w:r w:rsidRPr="00436330">
        <w:t>taken into account</w:t>
      </w:r>
      <w:proofErr w:type="gramEnd"/>
      <w:r w:rsidRPr="00436330">
        <w:t>. Referenc</w:t>
      </w:r>
      <w:r>
        <w:t xml:space="preserve">es in this Guidance Note to </w:t>
      </w:r>
      <w:r w:rsidR="004533FC">
        <w:t>‘</w:t>
      </w:r>
      <w:r w:rsidRPr="00436330">
        <w:t>nationa</w:t>
      </w:r>
      <w:r>
        <w:t>l interest or national security</w:t>
      </w:r>
      <w:r w:rsidR="004533FC">
        <w:t>’</w:t>
      </w:r>
      <w:r w:rsidRPr="00436330">
        <w:t xml:space="preserve"> are intended to differentiate between decisions made in respect of significant actions or an exemption certificate, where national interest considerations including but not limited to national security may be </w:t>
      </w:r>
      <w:proofErr w:type="gramStart"/>
      <w:r w:rsidRPr="00436330">
        <w:t>taken into account</w:t>
      </w:r>
      <w:proofErr w:type="gramEnd"/>
      <w:r w:rsidRPr="00436330">
        <w:t>, and decisions in relation to actions identified in section 74(1A) of the Act where only national security considerations are relevant.</w:t>
      </w:r>
    </w:p>
    <w:p w14:paraId="53FE1F47" w14:textId="6DC042C2" w:rsidR="00D726A2" w:rsidRDefault="00D726A2">
      <w:pPr>
        <w:spacing w:before="0" w:after="0"/>
        <w:rPr>
          <w:rFonts w:asciiTheme="minorHAnsi" w:eastAsiaTheme="minorEastAsia" w:hAnsiTheme="minorHAnsi" w:cstheme="minorBidi"/>
          <w:szCs w:val="22"/>
          <w:lang w:val="en-US" w:eastAsia="en-US"/>
        </w:rPr>
      </w:pPr>
      <w:r>
        <w:br w:type="page"/>
      </w:r>
    </w:p>
    <w:sdt>
      <w:sdtPr>
        <w:rPr>
          <w:b/>
          <w:color w:val="5F5F5F" w:themeColor="text2"/>
          <w:sz w:val="32"/>
          <w:szCs w:val="32"/>
        </w:rPr>
        <w:id w:val="-1707554510"/>
        <w:docPartObj>
          <w:docPartGallery w:val="Table of Contents"/>
          <w:docPartUnique/>
        </w:docPartObj>
      </w:sdtPr>
      <w:sdtEndPr>
        <w:rPr>
          <w:bCs/>
          <w:noProof/>
          <w:color w:val="auto"/>
          <w:sz w:val="22"/>
          <w:szCs w:val="20"/>
        </w:rPr>
      </w:sdtEndPr>
      <w:sdtContent>
        <w:p w14:paraId="5702DB01" w14:textId="77777777" w:rsidR="00F373D5" w:rsidRDefault="00F373D5" w:rsidP="008B4F60">
          <w:pPr>
            <w:rPr>
              <w:noProof/>
            </w:rPr>
          </w:pPr>
          <w:r w:rsidRPr="00006C77">
            <w:rPr>
              <w:color w:val="5F5F5F" w:themeColor="text2"/>
              <w:sz w:val="32"/>
              <w:szCs w:val="32"/>
            </w:rPr>
            <w:t>Looking for more?</w:t>
          </w:r>
          <w:r w:rsidRPr="00436330">
            <w:rPr>
              <w:rFonts w:asciiTheme="minorHAnsi" w:eastAsiaTheme="minorHAnsi" w:hAnsiTheme="minorHAnsi" w:cstheme="minorBidi"/>
              <w:szCs w:val="22"/>
              <w:lang w:eastAsia="en-US"/>
            </w:rPr>
            <w:fldChar w:fldCharType="begin"/>
          </w:r>
          <w:r w:rsidRPr="00436330">
            <w:rPr>
              <w:rFonts w:asciiTheme="minorHAnsi" w:eastAsiaTheme="minorHAnsi" w:hAnsiTheme="minorHAnsi" w:cstheme="minorBidi"/>
              <w:szCs w:val="22"/>
              <w:lang w:eastAsia="en-US"/>
            </w:rPr>
            <w:instrText xml:space="preserve"> TOC \o "1-2" \h \z \u </w:instrText>
          </w:r>
          <w:r w:rsidRPr="00436330">
            <w:rPr>
              <w:rFonts w:asciiTheme="minorHAnsi" w:eastAsiaTheme="minorHAnsi" w:hAnsiTheme="minorHAnsi" w:cstheme="minorBidi"/>
              <w:szCs w:val="22"/>
              <w:lang w:eastAsia="en-US"/>
            </w:rPr>
            <w:fldChar w:fldCharType="separate"/>
          </w:r>
        </w:p>
        <w:p w14:paraId="2398AB01" w14:textId="708FD0D4" w:rsidR="00F373D5" w:rsidRPr="00DB27DF" w:rsidRDefault="00000000" w:rsidP="00835A33">
          <w:pPr>
            <w:pStyle w:val="TOC2"/>
            <w:rPr>
              <w:rFonts w:ascii="Calibri Light" w:eastAsiaTheme="minorEastAsia" w:hAnsi="Calibri Light" w:cs="Calibri Light"/>
              <w:noProof/>
              <w:lang w:eastAsia="en-AU"/>
            </w:rPr>
          </w:pPr>
          <w:hyperlink w:anchor="_Toc75967356" w:history="1">
            <w:r w:rsidR="00F373D5" w:rsidRPr="00DB27DF">
              <w:rPr>
                <w:rStyle w:val="Hyperlink"/>
                <w:rFonts w:ascii="Calibri Light" w:hAnsi="Calibri Light" w:cs="Calibri Light"/>
                <w:noProof/>
              </w:rPr>
              <w:t xml:space="preserve">A: </w:t>
            </w:r>
            <w:r w:rsidR="00F373D5" w:rsidRPr="00DB27DF">
              <w:rPr>
                <w:rStyle w:val="Hyperlink"/>
                <w:rFonts w:ascii="Calibri Light" w:hAnsi="Calibri Light" w:cs="Calibri Light"/>
                <w:noProof/>
                <w:lang w:val="en"/>
              </w:rPr>
              <w:t>The National Interest Test</w:t>
            </w:r>
            <w:r w:rsidR="00F373D5" w:rsidRPr="00DB27DF">
              <w:rPr>
                <w:rFonts w:ascii="Calibri Light" w:hAnsi="Calibri Light" w:cs="Calibri Light"/>
                <w:noProof/>
                <w:webHidden/>
              </w:rPr>
              <w:tab/>
            </w:r>
            <w:r w:rsidR="00F373D5" w:rsidRPr="00DB27DF">
              <w:rPr>
                <w:rFonts w:ascii="Calibri Light" w:hAnsi="Calibri Light" w:cs="Calibri Light"/>
                <w:noProof/>
                <w:webHidden/>
              </w:rPr>
              <w:fldChar w:fldCharType="begin"/>
            </w:r>
            <w:r w:rsidR="00F373D5" w:rsidRPr="00DB27DF">
              <w:rPr>
                <w:rFonts w:ascii="Calibri Light" w:hAnsi="Calibri Light" w:cs="Calibri Light"/>
                <w:noProof/>
                <w:webHidden/>
              </w:rPr>
              <w:instrText xml:space="preserve"> PAGEREF _Toc75967356 \h </w:instrText>
            </w:r>
            <w:r w:rsidR="00F373D5" w:rsidRPr="00DB27DF">
              <w:rPr>
                <w:rFonts w:ascii="Calibri Light" w:hAnsi="Calibri Light" w:cs="Calibri Light"/>
                <w:noProof/>
                <w:webHidden/>
              </w:rPr>
            </w:r>
            <w:r w:rsidR="00F373D5" w:rsidRPr="00DB27DF">
              <w:rPr>
                <w:rFonts w:ascii="Calibri Light" w:hAnsi="Calibri Light" w:cs="Calibri Light"/>
                <w:noProof/>
                <w:webHidden/>
              </w:rPr>
              <w:fldChar w:fldCharType="separate"/>
            </w:r>
            <w:r w:rsidR="005F3572" w:rsidRPr="00DB27DF">
              <w:rPr>
                <w:rFonts w:ascii="Calibri Light" w:hAnsi="Calibri Light" w:cs="Calibri Light"/>
                <w:noProof/>
                <w:webHidden/>
              </w:rPr>
              <w:t>3</w:t>
            </w:r>
            <w:r w:rsidR="00F373D5" w:rsidRPr="00DB27DF">
              <w:rPr>
                <w:rFonts w:ascii="Calibri Light" w:hAnsi="Calibri Light" w:cs="Calibri Light"/>
                <w:noProof/>
                <w:webHidden/>
              </w:rPr>
              <w:fldChar w:fldCharType="end"/>
            </w:r>
          </w:hyperlink>
        </w:p>
        <w:p w14:paraId="32E4FF95" w14:textId="584B488E" w:rsidR="00F373D5" w:rsidRPr="00DB27DF" w:rsidRDefault="00000000" w:rsidP="00835A33">
          <w:pPr>
            <w:pStyle w:val="TOC2"/>
            <w:rPr>
              <w:rFonts w:ascii="Calibri Light" w:eastAsiaTheme="minorEastAsia" w:hAnsi="Calibri Light" w:cs="Calibri Light"/>
              <w:noProof/>
              <w:lang w:eastAsia="en-AU"/>
            </w:rPr>
          </w:pPr>
          <w:hyperlink w:anchor="_Toc75967357" w:history="1">
            <w:r w:rsidR="00F373D5" w:rsidRPr="00DB27DF">
              <w:rPr>
                <w:rStyle w:val="Hyperlink"/>
                <w:rFonts w:ascii="Calibri Light" w:hAnsi="Calibri Light" w:cs="Calibri Light"/>
                <w:noProof/>
              </w:rPr>
              <w:t>B: Conditions</w:t>
            </w:r>
            <w:r w:rsidR="00F373D5" w:rsidRPr="00DB27DF">
              <w:rPr>
                <w:rFonts w:ascii="Calibri Light" w:hAnsi="Calibri Light" w:cs="Calibri Light"/>
                <w:noProof/>
                <w:webHidden/>
              </w:rPr>
              <w:tab/>
            </w:r>
            <w:r w:rsidR="00F373D5" w:rsidRPr="00DB27DF">
              <w:rPr>
                <w:rFonts w:ascii="Calibri Light" w:hAnsi="Calibri Light" w:cs="Calibri Light"/>
                <w:noProof/>
                <w:webHidden/>
              </w:rPr>
              <w:fldChar w:fldCharType="begin"/>
            </w:r>
            <w:r w:rsidR="00F373D5" w:rsidRPr="00DB27DF">
              <w:rPr>
                <w:rFonts w:ascii="Calibri Light" w:hAnsi="Calibri Light" w:cs="Calibri Light"/>
                <w:noProof/>
                <w:webHidden/>
              </w:rPr>
              <w:instrText xml:space="preserve"> PAGEREF _Toc75967357 \h </w:instrText>
            </w:r>
            <w:r w:rsidR="00F373D5" w:rsidRPr="00DB27DF">
              <w:rPr>
                <w:rFonts w:ascii="Calibri Light" w:hAnsi="Calibri Light" w:cs="Calibri Light"/>
                <w:noProof/>
                <w:webHidden/>
              </w:rPr>
            </w:r>
            <w:r w:rsidR="00F373D5" w:rsidRPr="00DB27DF">
              <w:rPr>
                <w:rFonts w:ascii="Calibri Light" w:hAnsi="Calibri Light" w:cs="Calibri Light"/>
                <w:noProof/>
                <w:webHidden/>
              </w:rPr>
              <w:fldChar w:fldCharType="separate"/>
            </w:r>
            <w:r w:rsidR="005F3572" w:rsidRPr="00DB27DF">
              <w:rPr>
                <w:rFonts w:ascii="Calibri Light" w:hAnsi="Calibri Light" w:cs="Calibri Light"/>
                <w:noProof/>
                <w:webHidden/>
              </w:rPr>
              <w:t>3</w:t>
            </w:r>
            <w:r w:rsidR="00F373D5" w:rsidRPr="00DB27DF">
              <w:rPr>
                <w:rFonts w:ascii="Calibri Light" w:hAnsi="Calibri Light" w:cs="Calibri Light"/>
                <w:noProof/>
                <w:webHidden/>
              </w:rPr>
              <w:fldChar w:fldCharType="end"/>
            </w:r>
          </w:hyperlink>
        </w:p>
        <w:p w14:paraId="162DD624" w14:textId="5B2B4D05" w:rsidR="00F373D5" w:rsidRPr="00DB27DF" w:rsidRDefault="00000000" w:rsidP="00835A33">
          <w:pPr>
            <w:pStyle w:val="TOC2"/>
            <w:rPr>
              <w:rFonts w:ascii="Calibri Light" w:eastAsiaTheme="minorEastAsia" w:hAnsi="Calibri Light" w:cs="Calibri Light"/>
              <w:noProof/>
              <w:lang w:eastAsia="en-AU"/>
            </w:rPr>
          </w:pPr>
          <w:hyperlink w:anchor="_Toc75967358" w:history="1">
            <w:r w:rsidR="00F373D5" w:rsidRPr="00DB27DF">
              <w:rPr>
                <w:rStyle w:val="Hyperlink"/>
                <w:rFonts w:ascii="Calibri Light" w:hAnsi="Calibri Light" w:cs="Calibri Light"/>
                <w:noProof/>
              </w:rPr>
              <w:t>C: Guiding principles</w:t>
            </w:r>
            <w:r w:rsidR="00F373D5" w:rsidRPr="00DB27DF">
              <w:rPr>
                <w:rFonts w:ascii="Calibri Light" w:hAnsi="Calibri Light" w:cs="Calibri Light"/>
                <w:noProof/>
                <w:webHidden/>
              </w:rPr>
              <w:tab/>
            </w:r>
            <w:r w:rsidR="00F373D5" w:rsidRPr="00DB27DF">
              <w:rPr>
                <w:rFonts w:ascii="Calibri Light" w:hAnsi="Calibri Light" w:cs="Calibri Light"/>
                <w:noProof/>
                <w:webHidden/>
              </w:rPr>
              <w:fldChar w:fldCharType="begin"/>
            </w:r>
            <w:r w:rsidR="00F373D5" w:rsidRPr="00DB27DF">
              <w:rPr>
                <w:rFonts w:ascii="Calibri Light" w:hAnsi="Calibri Light" w:cs="Calibri Light"/>
                <w:noProof/>
                <w:webHidden/>
              </w:rPr>
              <w:instrText xml:space="preserve"> PAGEREF _Toc75967358 \h </w:instrText>
            </w:r>
            <w:r w:rsidR="00F373D5" w:rsidRPr="00DB27DF">
              <w:rPr>
                <w:rFonts w:ascii="Calibri Light" w:hAnsi="Calibri Light" w:cs="Calibri Light"/>
                <w:noProof/>
                <w:webHidden/>
              </w:rPr>
            </w:r>
            <w:r w:rsidR="00F373D5" w:rsidRPr="00DB27DF">
              <w:rPr>
                <w:rFonts w:ascii="Calibri Light" w:hAnsi="Calibri Light" w:cs="Calibri Light"/>
                <w:noProof/>
                <w:webHidden/>
              </w:rPr>
              <w:fldChar w:fldCharType="separate"/>
            </w:r>
            <w:r w:rsidR="005F3572" w:rsidRPr="00DB27DF">
              <w:rPr>
                <w:rFonts w:ascii="Calibri Light" w:hAnsi="Calibri Light" w:cs="Calibri Light"/>
                <w:noProof/>
                <w:webHidden/>
              </w:rPr>
              <w:t>4</w:t>
            </w:r>
            <w:r w:rsidR="00F373D5" w:rsidRPr="00DB27DF">
              <w:rPr>
                <w:rFonts w:ascii="Calibri Light" w:hAnsi="Calibri Light" w:cs="Calibri Light"/>
                <w:noProof/>
                <w:webHidden/>
              </w:rPr>
              <w:fldChar w:fldCharType="end"/>
            </w:r>
          </w:hyperlink>
        </w:p>
        <w:p w14:paraId="777CE2D7" w14:textId="2736A610" w:rsidR="00F373D5" w:rsidRPr="00DB27DF" w:rsidRDefault="00000000" w:rsidP="00835A33">
          <w:pPr>
            <w:pStyle w:val="TOC2"/>
            <w:rPr>
              <w:rFonts w:ascii="Calibri Light" w:eastAsiaTheme="minorEastAsia" w:hAnsi="Calibri Light" w:cs="Calibri Light"/>
              <w:noProof/>
              <w:lang w:eastAsia="en-AU"/>
            </w:rPr>
          </w:pPr>
          <w:hyperlink w:anchor="_Toc75967359" w:history="1">
            <w:r w:rsidR="00F373D5" w:rsidRPr="00DB27DF">
              <w:rPr>
                <w:rStyle w:val="Hyperlink"/>
                <w:rFonts w:ascii="Calibri Light" w:hAnsi="Calibri Light" w:cs="Calibri Light"/>
                <w:noProof/>
              </w:rPr>
              <w:t>D: Regulatory Approach – how are conditions used?</w:t>
            </w:r>
            <w:r w:rsidR="00F373D5" w:rsidRPr="00DB27DF">
              <w:rPr>
                <w:rFonts w:ascii="Calibri Light" w:hAnsi="Calibri Light" w:cs="Calibri Light"/>
                <w:noProof/>
                <w:webHidden/>
              </w:rPr>
              <w:tab/>
            </w:r>
            <w:r w:rsidR="00F373D5" w:rsidRPr="00DB27DF">
              <w:rPr>
                <w:rFonts w:ascii="Calibri Light" w:hAnsi="Calibri Light" w:cs="Calibri Light"/>
                <w:noProof/>
                <w:webHidden/>
              </w:rPr>
              <w:fldChar w:fldCharType="begin"/>
            </w:r>
            <w:r w:rsidR="00F373D5" w:rsidRPr="00DB27DF">
              <w:rPr>
                <w:rFonts w:ascii="Calibri Light" w:hAnsi="Calibri Light" w:cs="Calibri Light"/>
                <w:noProof/>
                <w:webHidden/>
              </w:rPr>
              <w:instrText xml:space="preserve"> PAGEREF _Toc75967359 \h </w:instrText>
            </w:r>
            <w:r w:rsidR="00F373D5" w:rsidRPr="00DB27DF">
              <w:rPr>
                <w:rFonts w:ascii="Calibri Light" w:hAnsi="Calibri Light" w:cs="Calibri Light"/>
                <w:noProof/>
                <w:webHidden/>
              </w:rPr>
            </w:r>
            <w:r w:rsidR="00F373D5" w:rsidRPr="00DB27DF">
              <w:rPr>
                <w:rFonts w:ascii="Calibri Light" w:hAnsi="Calibri Light" w:cs="Calibri Light"/>
                <w:noProof/>
                <w:webHidden/>
              </w:rPr>
              <w:fldChar w:fldCharType="separate"/>
            </w:r>
            <w:r w:rsidR="005F3572" w:rsidRPr="00DB27DF">
              <w:rPr>
                <w:rFonts w:ascii="Calibri Light" w:hAnsi="Calibri Light" w:cs="Calibri Light"/>
                <w:noProof/>
                <w:webHidden/>
              </w:rPr>
              <w:t>5</w:t>
            </w:r>
            <w:r w:rsidR="00F373D5" w:rsidRPr="00DB27DF">
              <w:rPr>
                <w:rFonts w:ascii="Calibri Light" w:hAnsi="Calibri Light" w:cs="Calibri Light"/>
                <w:noProof/>
                <w:webHidden/>
              </w:rPr>
              <w:fldChar w:fldCharType="end"/>
            </w:r>
          </w:hyperlink>
        </w:p>
        <w:p w14:paraId="0D17420D" w14:textId="437FC49E" w:rsidR="00F373D5" w:rsidRPr="00DB27DF" w:rsidRDefault="00000000" w:rsidP="00835A33">
          <w:pPr>
            <w:pStyle w:val="TOC2"/>
            <w:rPr>
              <w:rFonts w:ascii="Calibri Light" w:eastAsiaTheme="minorEastAsia" w:hAnsi="Calibri Light" w:cs="Calibri Light"/>
              <w:noProof/>
              <w:lang w:eastAsia="en-AU"/>
            </w:rPr>
          </w:pPr>
          <w:hyperlink w:anchor="_Toc75967360" w:history="1">
            <w:r w:rsidR="00F373D5" w:rsidRPr="00DB27DF">
              <w:rPr>
                <w:rStyle w:val="Hyperlink"/>
                <w:rFonts w:ascii="Calibri Light" w:hAnsi="Calibri Light" w:cs="Calibri Light"/>
                <w:noProof/>
              </w:rPr>
              <w:t>E: Types of conditions</w:t>
            </w:r>
            <w:r w:rsidR="00F373D5" w:rsidRPr="00DB27DF">
              <w:rPr>
                <w:rFonts w:ascii="Calibri Light" w:hAnsi="Calibri Light" w:cs="Calibri Light"/>
                <w:noProof/>
                <w:webHidden/>
              </w:rPr>
              <w:tab/>
            </w:r>
            <w:r w:rsidR="001B288D" w:rsidRPr="00DB27DF">
              <w:rPr>
                <w:rFonts w:ascii="Calibri Light" w:hAnsi="Calibri Light" w:cs="Calibri Light"/>
                <w:noProof/>
                <w:webHidden/>
              </w:rPr>
              <w:t>5</w:t>
            </w:r>
          </w:hyperlink>
        </w:p>
        <w:p w14:paraId="504DAE95" w14:textId="768D8734" w:rsidR="00F373D5" w:rsidRPr="00DB27DF" w:rsidRDefault="00000000" w:rsidP="00835A33">
          <w:pPr>
            <w:pStyle w:val="TOC2"/>
            <w:rPr>
              <w:rFonts w:ascii="Calibri Light" w:eastAsiaTheme="minorEastAsia" w:hAnsi="Calibri Light" w:cs="Calibri Light"/>
              <w:noProof/>
              <w:lang w:eastAsia="en-AU"/>
            </w:rPr>
          </w:pPr>
          <w:hyperlink w:anchor="_Toc75967361" w:history="1">
            <w:r w:rsidR="00F373D5" w:rsidRPr="00DB27DF">
              <w:rPr>
                <w:rStyle w:val="Hyperlink"/>
                <w:rFonts w:ascii="Calibri Light" w:hAnsi="Calibri Light" w:cs="Calibri Light"/>
                <w:noProof/>
              </w:rPr>
              <w:t>Further information</w:t>
            </w:r>
            <w:r w:rsidR="00F373D5" w:rsidRPr="00DB27DF">
              <w:rPr>
                <w:rFonts w:ascii="Calibri Light" w:hAnsi="Calibri Light" w:cs="Calibri Light"/>
                <w:noProof/>
                <w:webHidden/>
              </w:rPr>
              <w:tab/>
            </w:r>
            <w:r w:rsidR="00F373D5" w:rsidRPr="00DB27DF">
              <w:rPr>
                <w:rFonts w:ascii="Calibri Light" w:hAnsi="Calibri Light" w:cs="Calibri Light"/>
                <w:noProof/>
                <w:webHidden/>
              </w:rPr>
              <w:fldChar w:fldCharType="begin"/>
            </w:r>
            <w:r w:rsidR="00F373D5" w:rsidRPr="00DB27DF">
              <w:rPr>
                <w:rFonts w:ascii="Calibri Light" w:hAnsi="Calibri Light" w:cs="Calibri Light"/>
                <w:noProof/>
                <w:webHidden/>
              </w:rPr>
              <w:instrText xml:space="preserve"> PAGEREF _Toc75967361 \h </w:instrText>
            </w:r>
            <w:r w:rsidR="00F373D5" w:rsidRPr="00DB27DF">
              <w:rPr>
                <w:rFonts w:ascii="Calibri Light" w:hAnsi="Calibri Light" w:cs="Calibri Light"/>
                <w:noProof/>
                <w:webHidden/>
              </w:rPr>
            </w:r>
            <w:r w:rsidR="00F373D5" w:rsidRPr="00DB27DF">
              <w:rPr>
                <w:rFonts w:ascii="Calibri Light" w:hAnsi="Calibri Light" w:cs="Calibri Light"/>
                <w:noProof/>
                <w:webHidden/>
              </w:rPr>
              <w:fldChar w:fldCharType="separate"/>
            </w:r>
            <w:r w:rsidR="005F3572" w:rsidRPr="00DB27DF">
              <w:rPr>
                <w:rFonts w:ascii="Calibri Light" w:hAnsi="Calibri Light" w:cs="Calibri Light"/>
                <w:noProof/>
                <w:webHidden/>
              </w:rPr>
              <w:t>8</w:t>
            </w:r>
            <w:r w:rsidR="00F373D5" w:rsidRPr="00DB27DF">
              <w:rPr>
                <w:rFonts w:ascii="Calibri Light" w:hAnsi="Calibri Light" w:cs="Calibri Light"/>
                <w:noProof/>
                <w:webHidden/>
              </w:rPr>
              <w:fldChar w:fldCharType="end"/>
            </w:r>
          </w:hyperlink>
        </w:p>
        <w:p w14:paraId="4F2F7D5E" w14:textId="7FE84F70" w:rsidR="00F373D5" w:rsidRPr="00436330" w:rsidRDefault="00F373D5" w:rsidP="008B4F60">
          <w:pPr>
            <w:outlineLvl w:val="1"/>
          </w:pPr>
          <w:r w:rsidRPr="00436330">
            <w:rPr>
              <w:rFonts w:asciiTheme="minorHAnsi" w:eastAsiaTheme="minorHAnsi" w:hAnsiTheme="minorHAnsi" w:cstheme="minorBidi"/>
              <w:szCs w:val="22"/>
              <w:lang w:eastAsia="en-US"/>
            </w:rPr>
            <w:fldChar w:fldCharType="end"/>
          </w:r>
        </w:p>
      </w:sdtContent>
    </w:sdt>
    <w:p w14:paraId="22B3F04B" w14:textId="77777777" w:rsidR="001123FF" w:rsidRDefault="001123FF" w:rsidP="008B4F60">
      <w:pPr>
        <w:pStyle w:val="Heading2"/>
      </w:pPr>
      <w:bookmarkStart w:id="0" w:name="_Toc75967356"/>
      <w:r>
        <w:br w:type="page"/>
      </w:r>
    </w:p>
    <w:p w14:paraId="3DE65CF9" w14:textId="44E86693" w:rsidR="00F373D5" w:rsidRPr="00436330" w:rsidRDefault="00F373D5" w:rsidP="008B4F60">
      <w:pPr>
        <w:pStyle w:val="Heading2"/>
        <w:rPr>
          <w:lang w:val="en"/>
        </w:rPr>
      </w:pPr>
      <w:r w:rsidRPr="00436330">
        <w:lastRenderedPageBreak/>
        <w:t xml:space="preserve">A: </w:t>
      </w:r>
      <w:r w:rsidRPr="00436330">
        <w:rPr>
          <w:lang w:val="en"/>
        </w:rPr>
        <w:t>The National Interest Test</w:t>
      </w:r>
      <w:bookmarkEnd w:id="0"/>
    </w:p>
    <w:p w14:paraId="4989A163" w14:textId="0A0F60B9" w:rsidR="00F373D5" w:rsidRPr="00436330" w:rsidRDefault="00F373D5" w:rsidP="008B4F60">
      <w:r w:rsidRPr="00436330">
        <w:t>Australia</w:t>
      </w:r>
      <w:r w:rsidR="004533FC">
        <w:t>’</w:t>
      </w:r>
      <w:r w:rsidRPr="00436330">
        <w:t>s foreign investment review framework balances the need to welcome foreign investment with the need to reassure the community that the national interest is being</w:t>
      </w:r>
      <w:r>
        <w:t> </w:t>
      </w:r>
      <w:r w:rsidRPr="00436330">
        <w:t>protected.</w:t>
      </w:r>
    </w:p>
    <w:p w14:paraId="40012024" w14:textId="5B93C76E" w:rsidR="00F373D5" w:rsidRPr="00436330" w:rsidRDefault="00F373D5" w:rsidP="008B4F60">
      <w:r w:rsidRPr="00436330">
        <w:t xml:space="preserve">The national interest, and what would be contrary to it, is not defined in the Act. Instead, the Act confers upon the Treasurer the power to decide in each case whether a particular investment would be contrary to the national interest. A range of factors typically </w:t>
      </w:r>
      <w:proofErr w:type="gramStart"/>
      <w:r w:rsidRPr="00436330">
        <w:t>taken into account</w:t>
      </w:r>
      <w:proofErr w:type="gramEnd"/>
      <w:r w:rsidRPr="00436330">
        <w:t xml:space="preserve"> in assessing the impact of a proposal on the national interest is set out in </w:t>
      </w:r>
      <w:r w:rsidRPr="00436330">
        <w:rPr>
          <w:i/>
        </w:rPr>
        <w:t>Australia</w:t>
      </w:r>
      <w:r w:rsidR="004533FC">
        <w:rPr>
          <w:i/>
        </w:rPr>
        <w:t>’</w:t>
      </w:r>
      <w:r w:rsidRPr="00436330">
        <w:rPr>
          <w:i/>
        </w:rPr>
        <w:t>s Foreign Investment Policy</w:t>
      </w:r>
      <w:r w:rsidRPr="00436330">
        <w:t>.</w:t>
      </w:r>
    </w:p>
    <w:p w14:paraId="063AE25E" w14:textId="77777777" w:rsidR="00F373D5" w:rsidRPr="00436330" w:rsidRDefault="00F373D5" w:rsidP="008B4F60">
      <w:r w:rsidRPr="00436330">
        <w:t>Typically, the Government considers the following factors when assessing foreign investment proposals in all sectors of the economy:</w:t>
      </w:r>
    </w:p>
    <w:p w14:paraId="1C0AE919" w14:textId="77777777" w:rsidR="00F373D5" w:rsidRPr="00436330" w:rsidRDefault="00F373D5" w:rsidP="008B4F60">
      <w:pPr>
        <w:pStyle w:val="Bullet"/>
      </w:pPr>
      <w:r w:rsidRPr="00436330">
        <w:t xml:space="preserve">National </w:t>
      </w:r>
      <w:r w:rsidRPr="008B4F60">
        <w:t>security</w:t>
      </w:r>
    </w:p>
    <w:p w14:paraId="699D195B" w14:textId="77777777" w:rsidR="00F373D5" w:rsidRPr="00436330" w:rsidRDefault="00F373D5" w:rsidP="008B4F60">
      <w:pPr>
        <w:pStyle w:val="Bullet"/>
      </w:pPr>
      <w:r w:rsidRPr="008B4F60">
        <w:t>Competition</w:t>
      </w:r>
    </w:p>
    <w:p w14:paraId="4AE29784" w14:textId="77777777" w:rsidR="00F373D5" w:rsidRPr="00436330" w:rsidRDefault="00F373D5" w:rsidP="008B4F60">
      <w:pPr>
        <w:pStyle w:val="Bullet"/>
      </w:pPr>
      <w:r w:rsidRPr="00436330">
        <w:t xml:space="preserve">Other Australian Government </w:t>
      </w:r>
      <w:r w:rsidRPr="008B4F60">
        <w:t>policies</w:t>
      </w:r>
      <w:r w:rsidRPr="00436330">
        <w:t xml:space="preserve"> (including tax)</w:t>
      </w:r>
    </w:p>
    <w:p w14:paraId="71DB8C86" w14:textId="77777777" w:rsidR="00F373D5" w:rsidRPr="00436330" w:rsidRDefault="00F373D5" w:rsidP="008B4F60">
      <w:pPr>
        <w:pStyle w:val="Bullet"/>
      </w:pPr>
      <w:r w:rsidRPr="00436330">
        <w:t xml:space="preserve">Impact on the economy and the </w:t>
      </w:r>
      <w:r w:rsidRPr="008B4F60">
        <w:t>community</w:t>
      </w:r>
    </w:p>
    <w:p w14:paraId="0EAAEE43" w14:textId="77777777" w:rsidR="00F373D5" w:rsidRPr="00436330" w:rsidRDefault="00F373D5" w:rsidP="008B4F60">
      <w:pPr>
        <w:pStyle w:val="Bullet"/>
      </w:pPr>
      <w:r w:rsidRPr="00436330">
        <w:t xml:space="preserve">Character of </w:t>
      </w:r>
      <w:r w:rsidRPr="008B4F60">
        <w:t>the</w:t>
      </w:r>
      <w:r w:rsidRPr="00436330">
        <w:t xml:space="preserve"> Investor</w:t>
      </w:r>
    </w:p>
    <w:p w14:paraId="4E83444D" w14:textId="6B4FC200" w:rsidR="00F373D5" w:rsidRPr="00436330" w:rsidRDefault="00F373D5" w:rsidP="008B4F60">
      <w:r w:rsidRPr="00436330">
        <w:t xml:space="preserve">Where a decision is to be made in relation to an action of a type identified in section 74(1A) of the Act, only factors relating to national security may be </w:t>
      </w:r>
      <w:proofErr w:type="gramStart"/>
      <w:r w:rsidRPr="00436330">
        <w:t>taken into account</w:t>
      </w:r>
      <w:proofErr w:type="gramEnd"/>
      <w:r w:rsidRPr="00436330">
        <w:t>. Refer</w:t>
      </w:r>
      <w:r>
        <w:t xml:space="preserve">ences in this Guidance Note to </w:t>
      </w:r>
      <w:r w:rsidR="004533FC">
        <w:t>‘</w:t>
      </w:r>
      <w:r w:rsidRPr="00436330">
        <w:t>national interest or national security</w:t>
      </w:r>
      <w:r w:rsidR="004533FC">
        <w:t>’</w:t>
      </w:r>
      <w:r w:rsidRPr="00436330">
        <w:t xml:space="preserve"> are intended to differentiate between decisions made in respect of significant actions or an exemption certificate, where national interest considerations including but not limited to national security may be </w:t>
      </w:r>
      <w:proofErr w:type="gramStart"/>
      <w:r w:rsidRPr="00436330">
        <w:t>taken into account</w:t>
      </w:r>
      <w:proofErr w:type="gramEnd"/>
      <w:r w:rsidRPr="00436330">
        <w:t>, and decisions in relation to actions identified in section 74(1A) of the Act where only national security considerations are relevant.</w:t>
      </w:r>
    </w:p>
    <w:p w14:paraId="1CE00E26" w14:textId="77777777" w:rsidR="00F373D5" w:rsidRPr="00436330" w:rsidRDefault="00F373D5" w:rsidP="008B4F60">
      <w:pPr>
        <w:pStyle w:val="Heading2"/>
      </w:pPr>
      <w:bookmarkStart w:id="1" w:name="_Toc75967357"/>
      <w:r w:rsidRPr="00436330">
        <w:t>B: Conditions</w:t>
      </w:r>
      <w:bookmarkEnd w:id="1"/>
    </w:p>
    <w:p w14:paraId="5A8B88EB" w14:textId="331674D7" w:rsidR="00F373D5" w:rsidRPr="00436330" w:rsidRDefault="00F373D5" w:rsidP="008B4F60">
      <w:r w:rsidRPr="00436330">
        <w:t xml:space="preserve">Under section 74 of the Act, the Treasurer can issue a no objection notification for certain investments (defined in the Act as </w:t>
      </w:r>
      <w:r w:rsidR="004533FC">
        <w:t>‘</w:t>
      </w:r>
      <w:r w:rsidRPr="00436330">
        <w:t>significant actions</w:t>
      </w:r>
      <w:r w:rsidR="004533FC">
        <w:t>’</w:t>
      </w:r>
      <w:r w:rsidRPr="00436330">
        <w:t>) subject to one or more conditions if the Treasurer considers that the conditions are necessary to ensure the investment is not contrary to the national interest. Under amendments to section 74 commencing from 1 January 2021, conditions may also be imposed in respect of certain actions other than significant actions, if the Treasurer is satisfied that they are necessary to ensure the action will not be contrary to national security. Exemption certificates issued under Division 5 of Part 2 of the Act may also include conditions that a foreign investor or a developer is required to comply with.</w:t>
      </w:r>
    </w:p>
    <w:p w14:paraId="3610734B" w14:textId="77777777" w:rsidR="00F373D5" w:rsidRPr="00436330" w:rsidRDefault="00F373D5" w:rsidP="008B4F60">
      <w:r w:rsidRPr="00436330">
        <w:t xml:space="preserve">Simply put, conditions are the regulatory mechanism by which the Government can allow foreign investment to occur while at the same time managing the risks to the national interest or national security associated with it. </w:t>
      </w:r>
    </w:p>
    <w:p w14:paraId="336E4CCA" w14:textId="6CBF65F8" w:rsidR="00F373D5" w:rsidRDefault="00F373D5" w:rsidP="008B4F60">
      <w:pPr>
        <w:spacing w:after="0"/>
      </w:pPr>
      <w:r w:rsidRPr="00436330">
        <w:t xml:space="preserve">Conditional no objection decisions under the Act are made at a point in time, based on an assessment at that time of the risks to the national interest (or to national security only if the decision were made under section 74(2)(a)(iii) or (iv)). Under section 74 of the Act, conditions attached to a </w:t>
      </w:r>
      <w:r w:rsidR="004533FC">
        <w:t>“</w:t>
      </w:r>
      <w:r w:rsidRPr="00436330">
        <w:t>no objection</w:t>
      </w:r>
      <w:r w:rsidR="004533FC">
        <w:t>”</w:t>
      </w:r>
      <w:r w:rsidRPr="00436330">
        <w:t xml:space="preserve"> decision may only be varied if the Treasurer is satisfied that the variation is not contrary to the national interest or to national security as relevant, and that either the applicant has consented to the variation or that the variation does not disadvantage them</w:t>
      </w:r>
      <w:r w:rsidR="004533FC">
        <w:t xml:space="preserve">. </w:t>
      </w:r>
    </w:p>
    <w:p w14:paraId="286F62D7" w14:textId="0FA2DECD" w:rsidR="00F373D5" w:rsidRDefault="00F373D5" w:rsidP="008B4F60">
      <w:r>
        <w:lastRenderedPageBreak/>
        <w:t xml:space="preserve">Repeat investors may find that modified terms of conditions are imposed in relation to later investments. This reflects the assessment of risk to the national interest or national security at the time of the later investment. </w:t>
      </w:r>
      <w:proofErr w:type="gramStart"/>
      <w:r>
        <w:t>In order to</w:t>
      </w:r>
      <w:proofErr w:type="gramEnd"/>
      <w:r>
        <w:t xml:space="preserve"> reduce regulatory burden, it is open to the investor to apply for a variation of earlier conditions to align with the later ones. It is likely that such requests would be considered favourably by the decision</w:t>
      </w:r>
      <w:r w:rsidR="004533FC">
        <w:noBreakHyphen/>
      </w:r>
      <w:r>
        <w:t>maker.</w:t>
      </w:r>
    </w:p>
    <w:p w14:paraId="542FA460" w14:textId="77777777" w:rsidR="00F373D5" w:rsidRPr="00436330" w:rsidRDefault="00F373D5" w:rsidP="008B4F60">
      <w:pPr>
        <w:pStyle w:val="Heading2"/>
      </w:pPr>
      <w:bookmarkStart w:id="2" w:name="_Toc75967358"/>
      <w:r w:rsidRPr="00436330">
        <w:t>C: Guiding principles</w:t>
      </w:r>
      <w:bookmarkEnd w:id="2"/>
      <w:r w:rsidRPr="00436330">
        <w:t xml:space="preserve"> </w:t>
      </w:r>
    </w:p>
    <w:p w14:paraId="42C1E1A6" w14:textId="6E9642A7" w:rsidR="00F373D5" w:rsidRPr="00436330" w:rsidRDefault="00F373D5" w:rsidP="008B4F60">
      <w:r w:rsidRPr="00436330">
        <w:t>While each foreign investment proposal subject to the Act is considered on its merits on a case</w:t>
      </w:r>
      <w:r w:rsidR="008D59B7">
        <w:noBreakHyphen/>
      </w:r>
      <w:r w:rsidRPr="00436330">
        <w:t>by</w:t>
      </w:r>
      <w:r w:rsidR="008D59B7">
        <w:noBreakHyphen/>
      </w:r>
      <w:r w:rsidRPr="00436330">
        <w:t xml:space="preserve">case basis, the Treasurer has endorsed a set of guiding principles against which the Treasury will frame any recommendation for conditions on a proposed foreign investment. These principles are drawn from a combination of requirements set out in the Act, matters addressed in the </w:t>
      </w:r>
      <w:hyperlink r:id="rId8" w:history="1">
        <w:r w:rsidR="001100C0" w:rsidRPr="00EA67DA">
          <w:rPr>
            <w:rStyle w:val="Hyperlink"/>
          </w:rPr>
          <w:t>Regulatory Performance</w:t>
        </w:r>
        <w:r w:rsidR="00865786">
          <w:rPr>
            <w:rStyle w:val="Hyperlink"/>
          </w:rPr>
          <w:t xml:space="preserve"> Resource Management Guide</w:t>
        </w:r>
        <w:r w:rsidR="001100C0" w:rsidRPr="00EA67DA">
          <w:rPr>
            <w:rStyle w:val="Hyperlink"/>
          </w:rPr>
          <w:t xml:space="preserve"> </w:t>
        </w:r>
        <w:r w:rsidR="00CC5274" w:rsidRPr="00EA67DA">
          <w:rPr>
            <w:rStyle w:val="Hyperlink"/>
          </w:rPr>
          <w:t>(RMG 128)</w:t>
        </w:r>
      </w:hyperlink>
      <w:r w:rsidRPr="00436330">
        <w:t xml:space="preserve"> and sound regulatory practice. They provide a framework for Treasury, consult partners and the Foreign Investment Review Board (FIRB) to work within when developing advice for decision</w:t>
      </w:r>
      <w:r w:rsidR="004533FC">
        <w:noBreakHyphen/>
      </w:r>
      <w:r w:rsidRPr="00436330">
        <w:t xml:space="preserve">makers. </w:t>
      </w:r>
    </w:p>
    <w:p w14:paraId="22FA70ED" w14:textId="77777777" w:rsidR="00F373D5" w:rsidRPr="00436330" w:rsidRDefault="00F373D5" w:rsidP="008B4F60">
      <w:pPr>
        <w:pStyle w:val="Heading3"/>
      </w:pPr>
      <w:r w:rsidRPr="00436330">
        <w:t xml:space="preserve">Threshold </w:t>
      </w:r>
      <w:r w:rsidRPr="008B4F60">
        <w:t>considerations</w:t>
      </w:r>
    </w:p>
    <w:p w14:paraId="7CCB02D8" w14:textId="77777777" w:rsidR="00F373D5" w:rsidRPr="00436330" w:rsidRDefault="00F373D5" w:rsidP="008B4F60">
      <w:pPr>
        <w:pStyle w:val="Heading4"/>
        <w:rPr>
          <w:b/>
        </w:rPr>
      </w:pPr>
      <w:r w:rsidRPr="00436330">
        <w:t>Mandated in legislation</w:t>
      </w:r>
    </w:p>
    <w:p w14:paraId="13391501" w14:textId="77777777" w:rsidR="00F373D5" w:rsidRPr="00436330" w:rsidRDefault="00F373D5" w:rsidP="008B4F60">
      <w:pPr>
        <w:pStyle w:val="Bullet"/>
      </w:pPr>
      <w:r w:rsidRPr="00436330">
        <w:rPr>
          <w:b/>
        </w:rPr>
        <w:t xml:space="preserve">Necessary </w:t>
      </w:r>
      <w:r w:rsidRPr="00436330">
        <w:t xml:space="preserve">– Are the </w:t>
      </w:r>
      <w:r w:rsidRPr="008B4F60">
        <w:t>conditions</w:t>
      </w:r>
      <w:r w:rsidRPr="00436330">
        <w:t xml:space="preserve"> necessary to ensure the action will not be contrary to the national interest or, for decisions in relation to actions specified in section 74(1A) of the Act, contrary to national security? </w:t>
      </w:r>
    </w:p>
    <w:p w14:paraId="0FE776A5" w14:textId="0B3D22A0" w:rsidR="00F373D5" w:rsidRPr="00436330" w:rsidRDefault="00F373D5" w:rsidP="008B4F60">
      <w:pPr>
        <w:pStyle w:val="Bullet"/>
      </w:pPr>
      <w:r w:rsidRPr="00436330">
        <w:rPr>
          <w:b/>
        </w:rPr>
        <w:t>Allowable</w:t>
      </w:r>
      <w:r w:rsidR="004533FC">
        <w:t xml:space="preserve"> – </w:t>
      </w:r>
      <w:r w:rsidRPr="00436330">
        <w:t>Are the conditions being imposed on the person (or persons) taking a significant action, a notifiable national security action, an action in respect of which the Treasurer has given a notice under section 66A(4) or a reviewable national security action, or to whom an exemption certificate is issued?</w:t>
      </w:r>
      <w:r w:rsidR="00FA7AFD">
        <w:t xml:space="preserve"> </w:t>
      </w:r>
    </w:p>
    <w:p w14:paraId="3DBF6305" w14:textId="0C75A1CF" w:rsidR="00F373D5" w:rsidRPr="00436330" w:rsidRDefault="00F373D5" w:rsidP="008B4F60">
      <w:pPr>
        <w:pStyle w:val="Heading4"/>
      </w:pPr>
      <w:r w:rsidRPr="00436330">
        <w:t>Non</w:t>
      </w:r>
      <w:r w:rsidR="004533FC">
        <w:noBreakHyphen/>
      </w:r>
      <w:r w:rsidRPr="00436330">
        <w:t>legislated</w:t>
      </w:r>
    </w:p>
    <w:p w14:paraId="724690CD" w14:textId="6E80405D" w:rsidR="00F373D5" w:rsidRPr="00436330" w:rsidRDefault="00F373D5" w:rsidP="008B4F60">
      <w:pPr>
        <w:pStyle w:val="Bullet"/>
      </w:pPr>
      <w:r w:rsidRPr="00436330">
        <w:rPr>
          <w:b/>
        </w:rPr>
        <w:t>Effective</w:t>
      </w:r>
      <w:r w:rsidR="004533FC">
        <w:rPr>
          <w:b/>
        </w:rPr>
        <w:t xml:space="preserve"> – </w:t>
      </w:r>
      <w:r w:rsidRPr="00436330">
        <w:t xml:space="preserve">Do the conditions represent the best </w:t>
      </w:r>
      <w:r w:rsidRPr="008B4F60">
        <w:t>available</w:t>
      </w:r>
      <w:r w:rsidRPr="00436330">
        <w:t xml:space="preserve"> way to mitigate identified national interest or national security risks and, so far as it is possible to assess, will they continue to do so in an enduring manner?</w:t>
      </w:r>
      <w:r w:rsidRPr="00436330">
        <w:rPr>
          <w:b/>
        </w:rPr>
        <w:t xml:space="preserve"> </w:t>
      </w:r>
    </w:p>
    <w:p w14:paraId="182E0E72" w14:textId="63A6C143" w:rsidR="00F373D5" w:rsidRPr="00436330" w:rsidRDefault="00F373D5" w:rsidP="008B4F60">
      <w:pPr>
        <w:pStyle w:val="Bullet"/>
      </w:pPr>
      <w:r w:rsidRPr="00436330">
        <w:rPr>
          <w:b/>
        </w:rPr>
        <w:t>Outcomes Focused –</w:t>
      </w:r>
      <w:r w:rsidRPr="00436330">
        <w:t xml:space="preserve"> Do the conditions achieve the best foreign </w:t>
      </w:r>
      <w:r w:rsidRPr="008B4F60">
        <w:t>investment</w:t>
      </w:r>
      <w:r w:rsidRPr="00436330">
        <w:t xml:space="preserve"> outcome </w:t>
      </w:r>
      <w:proofErr w:type="gramStart"/>
      <w:r w:rsidRPr="00436330">
        <w:t>in light of</w:t>
      </w:r>
      <w:proofErr w:type="gramEnd"/>
      <w:r w:rsidRPr="00436330">
        <w:t xml:space="preserve"> Australia</w:t>
      </w:r>
      <w:r w:rsidR="004533FC">
        <w:t>’</w:t>
      </w:r>
      <w:r w:rsidRPr="00436330">
        <w:t>s foreign investment policy?</w:t>
      </w:r>
      <w:r w:rsidRPr="00436330" w:rsidDel="00221B4F">
        <w:rPr>
          <w:vertAlign w:val="superscript"/>
        </w:rPr>
        <w:t xml:space="preserve"> </w:t>
      </w:r>
    </w:p>
    <w:p w14:paraId="39ECFC90" w14:textId="77777777" w:rsidR="00F373D5" w:rsidRPr="00436330" w:rsidRDefault="00F373D5" w:rsidP="008B4F60">
      <w:pPr>
        <w:pStyle w:val="Heading3"/>
      </w:pPr>
      <w:r w:rsidRPr="00436330">
        <w:t xml:space="preserve">Regulatory </w:t>
      </w:r>
      <w:r w:rsidRPr="008B4F60">
        <w:t>approach</w:t>
      </w:r>
    </w:p>
    <w:p w14:paraId="53A1EF49" w14:textId="23F4FF6B" w:rsidR="00F373D5" w:rsidRPr="00436330" w:rsidRDefault="00F373D5" w:rsidP="008B4F60">
      <w:pPr>
        <w:pStyle w:val="Bullet"/>
        <w:rPr>
          <w:b/>
        </w:rPr>
      </w:pPr>
      <w:r w:rsidRPr="00436330">
        <w:rPr>
          <w:b/>
        </w:rPr>
        <w:t>Risk Based</w:t>
      </w:r>
      <w:r w:rsidR="004533FC">
        <w:t xml:space="preserve"> – </w:t>
      </w:r>
      <w:r w:rsidRPr="00436330">
        <w:t xml:space="preserve">Are the conditions proportionate to the </w:t>
      </w:r>
      <w:r w:rsidRPr="008B4F60">
        <w:t>identified</w:t>
      </w:r>
      <w:r w:rsidRPr="00436330">
        <w:t xml:space="preserve"> risk? </w:t>
      </w:r>
    </w:p>
    <w:p w14:paraId="0665AE99" w14:textId="77777777" w:rsidR="00F373D5" w:rsidRPr="00436330" w:rsidRDefault="00F373D5" w:rsidP="008B4F60">
      <w:pPr>
        <w:pStyle w:val="Bullet"/>
        <w:rPr>
          <w:b/>
        </w:rPr>
      </w:pPr>
      <w:r w:rsidRPr="00436330">
        <w:rPr>
          <w:b/>
        </w:rPr>
        <w:t xml:space="preserve">Workable </w:t>
      </w:r>
      <w:r w:rsidRPr="00436330">
        <w:t xml:space="preserve">– Are the conditions able to be implemented by the </w:t>
      </w:r>
      <w:r w:rsidRPr="008B4F60">
        <w:t>investor</w:t>
      </w:r>
      <w:r w:rsidRPr="00436330">
        <w:t>?</w:t>
      </w:r>
      <w:r w:rsidRPr="00436330">
        <w:rPr>
          <w:b/>
        </w:rPr>
        <w:t xml:space="preserve"> </w:t>
      </w:r>
    </w:p>
    <w:p w14:paraId="05E7C65A" w14:textId="3D38855E" w:rsidR="004533FC" w:rsidRDefault="00F373D5" w:rsidP="008B4F60">
      <w:pPr>
        <w:pStyle w:val="Bullet"/>
      </w:pPr>
      <w:r w:rsidRPr="00436330">
        <w:rPr>
          <w:b/>
        </w:rPr>
        <w:t>Efficient</w:t>
      </w:r>
      <w:r w:rsidR="004533FC">
        <w:t xml:space="preserve"> – </w:t>
      </w:r>
      <w:r w:rsidRPr="00436330">
        <w:t xml:space="preserve">Do the conditions impose the minimum burden necessary to </w:t>
      </w:r>
      <w:r w:rsidRPr="008B4F60">
        <w:t>mitigate</w:t>
      </w:r>
      <w:r w:rsidRPr="00436330">
        <w:t xml:space="preserve"> identified risks to the national interest or to national security?</w:t>
      </w:r>
      <w:r w:rsidR="00FA7AFD">
        <w:t xml:space="preserve"> </w:t>
      </w:r>
      <w:r w:rsidR="004533FC">
        <w:br w:type="page"/>
      </w:r>
    </w:p>
    <w:p w14:paraId="27B128F6" w14:textId="77777777" w:rsidR="00F373D5" w:rsidRPr="00436330" w:rsidRDefault="00F373D5" w:rsidP="004533FC">
      <w:pPr>
        <w:pStyle w:val="Heading3"/>
      </w:pPr>
      <w:r w:rsidRPr="00436330">
        <w:lastRenderedPageBreak/>
        <w:t xml:space="preserve">Compliance </w:t>
      </w:r>
      <w:r>
        <w:t>and</w:t>
      </w:r>
      <w:r w:rsidRPr="00436330">
        <w:t xml:space="preserve"> </w:t>
      </w:r>
      <w:r w:rsidRPr="008B4F60">
        <w:t>integrity</w:t>
      </w:r>
    </w:p>
    <w:p w14:paraId="527D3D08" w14:textId="68C02608" w:rsidR="00F373D5" w:rsidRPr="00F373D5" w:rsidRDefault="00F373D5" w:rsidP="008B4F60">
      <w:pPr>
        <w:pStyle w:val="Bullet"/>
      </w:pPr>
      <w:r w:rsidRPr="00436330">
        <w:rPr>
          <w:b/>
        </w:rPr>
        <w:t>Clear</w:t>
      </w:r>
      <w:r w:rsidR="004533FC">
        <w:t xml:space="preserve"> – </w:t>
      </w:r>
      <w:r w:rsidRPr="00436330">
        <w:t>Are the conditions clear as to what is being required of the investor?</w:t>
      </w:r>
      <w:r w:rsidRPr="00436330">
        <w:rPr>
          <w:b/>
        </w:rPr>
        <w:t xml:space="preserve"> </w:t>
      </w:r>
    </w:p>
    <w:p w14:paraId="52B47CD2" w14:textId="77777777" w:rsidR="00F373D5" w:rsidRPr="00436330" w:rsidRDefault="00F373D5" w:rsidP="008B4F60">
      <w:pPr>
        <w:pStyle w:val="Bullet"/>
      </w:pPr>
      <w:r w:rsidRPr="00436330">
        <w:rPr>
          <w:b/>
        </w:rPr>
        <w:t>Observable</w:t>
      </w:r>
      <w:r w:rsidRPr="00436330">
        <w:t xml:space="preserve"> –</w:t>
      </w:r>
      <w:r w:rsidRPr="00436330" w:rsidDel="00793564">
        <w:t xml:space="preserve"> </w:t>
      </w:r>
      <w:r w:rsidRPr="00436330">
        <w:t xml:space="preserve">Is compliance with the conditions able to </w:t>
      </w:r>
      <w:r w:rsidRPr="008B4F60">
        <w:t>be</w:t>
      </w:r>
      <w:r w:rsidRPr="00436330">
        <w:t xml:space="preserve"> monitored?</w:t>
      </w:r>
      <w:r w:rsidRPr="00436330">
        <w:rPr>
          <w:b/>
        </w:rPr>
        <w:t xml:space="preserve"> </w:t>
      </w:r>
    </w:p>
    <w:p w14:paraId="712569F7" w14:textId="7EA36D41" w:rsidR="00F373D5" w:rsidRPr="00436330" w:rsidRDefault="00F373D5" w:rsidP="008B4F60">
      <w:pPr>
        <w:pStyle w:val="Bullet"/>
      </w:pPr>
      <w:r w:rsidRPr="00436330">
        <w:rPr>
          <w:b/>
        </w:rPr>
        <w:t>Compliant</w:t>
      </w:r>
      <w:r w:rsidR="004533FC">
        <w:t xml:space="preserve"> – </w:t>
      </w:r>
      <w:r w:rsidRPr="00436330">
        <w:t xml:space="preserve">Do the conditions comply with domestic and </w:t>
      </w:r>
      <w:r w:rsidRPr="008B4F60">
        <w:t>international</w:t>
      </w:r>
      <w:r w:rsidRPr="00436330">
        <w:t xml:space="preserve"> obligations?</w:t>
      </w:r>
      <w:r w:rsidRPr="00436330">
        <w:rPr>
          <w:b/>
        </w:rPr>
        <w:t xml:space="preserve"> </w:t>
      </w:r>
    </w:p>
    <w:p w14:paraId="435F153A" w14:textId="3D010DC2" w:rsidR="00F373D5" w:rsidRPr="00436330" w:rsidRDefault="00F373D5" w:rsidP="008B4F60">
      <w:pPr>
        <w:pStyle w:val="Bullet"/>
      </w:pPr>
      <w:r w:rsidRPr="00436330">
        <w:rPr>
          <w:b/>
        </w:rPr>
        <w:t>Enforceable</w:t>
      </w:r>
      <w:r w:rsidR="004533FC">
        <w:rPr>
          <w:b/>
        </w:rPr>
        <w:t xml:space="preserve"> – </w:t>
      </w:r>
      <w:r w:rsidRPr="00436330">
        <w:t xml:space="preserve">Are the conditions legally </w:t>
      </w:r>
      <w:r w:rsidRPr="008B4F60">
        <w:t>enforceable</w:t>
      </w:r>
      <w:r w:rsidRPr="00436330">
        <w:t xml:space="preserve">? </w:t>
      </w:r>
    </w:p>
    <w:p w14:paraId="31BE2C83" w14:textId="39BB9B0D" w:rsidR="00F373D5" w:rsidRPr="00436330" w:rsidRDefault="00F373D5" w:rsidP="008B4F60">
      <w:pPr>
        <w:rPr>
          <w:rFonts w:asciiTheme="minorHAnsi" w:eastAsiaTheme="majorEastAsia" w:hAnsiTheme="minorHAnsi"/>
        </w:rPr>
      </w:pPr>
      <w:r w:rsidRPr="00436330">
        <w:rPr>
          <w:rFonts w:asciiTheme="minorHAnsi" w:eastAsiaTheme="majorEastAsia" w:hAnsiTheme="minorHAnsi"/>
        </w:rPr>
        <w:t xml:space="preserve">While the principles will be </w:t>
      </w:r>
      <w:proofErr w:type="gramStart"/>
      <w:r w:rsidRPr="00436330">
        <w:rPr>
          <w:rFonts w:asciiTheme="minorHAnsi" w:eastAsiaTheme="majorEastAsia" w:hAnsiTheme="minorHAnsi"/>
        </w:rPr>
        <w:t>taken into account</w:t>
      </w:r>
      <w:proofErr w:type="gramEnd"/>
      <w:r w:rsidRPr="00436330">
        <w:rPr>
          <w:rFonts w:asciiTheme="minorHAnsi" w:eastAsiaTheme="majorEastAsia" w:hAnsiTheme="minorHAnsi"/>
        </w:rPr>
        <w:t xml:space="preserve"> in recommending conditions, they are not binding on the decision maker. The decision</w:t>
      </w:r>
      <w:r w:rsidR="004533FC">
        <w:rPr>
          <w:rFonts w:asciiTheme="minorHAnsi" w:eastAsiaTheme="majorEastAsia" w:hAnsiTheme="minorHAnsi"/>
        </w:rPr>
        <w:noBreakHyphen/>
      </w:r>
      <w:r w:rsidRPr="00436330">
        <w:rPr>
          <w:rFonts w:asciiTheme="minorHAnsi" w:eastAsiaTheme="majorEastAsia" w:hAnsiTheme="minorHAnsi"/>
        </w:rPr>
        <w:t xml:space="preserve">maker has a legal obligation to </w:t>
      </w:r>
      <w:proofErr w:type="gramStart"/>
      <w:r w:rsidRPr="00436330">
        <w:rPr>
          <w:rFonts w:asciiTheme="minorHAnsi" w:eastAsiaTheme="majorEastAsia" w:hAnsiTheme="minorHAnsi"/>
        </w:rPr>
        <w:t>take into account</w:t>
      </w:r>
      <w:proofErr w:type="gramEnd"/>
      <w:r w:rsidRPr="00436330">
        <w:rPr>
          <w:rFonts w:asciiTheme="minorHAnsi" w:eastAsiaTheme="majorEastAsia" w:hAnsiTheme="minorHAnsi"/>
        </w:rPr>
        <w:t xml:space="preserve"> the merits of a particular case when making a decision.</w:t>
      </w:r>
    </w:p>
    <w:p w14:paraId="67BE5A48" w14:textId="77777777" w:rsidR="00F373D5" w:rsidRPr="00436330" w:rsidRDefault="00F373D5" w:rsidP="008B4F60">
      <w:pPr>
        <w:pStyle w:val="Heading2"/>
      </w:pPr>
      <w:bookmarkStart w:id="3" w:name="_Toc32572621"/>
      <w:bookmarkStart w:id="4" w:name="_Toc75967359"/>
      <w:r w:rsidRPr="00436330">
        <w:t xml:space="preserve">D: Regulatory </w:t>
      </w:r>
      <w:r>
        <w:t>a</w:t>
      </w:r>
      <w:r w:rsidRPr="00436330">
        <w:t>pproach</w:t>
      </w:r>
      <w:bookmarkEnd w:id="3"/>
      <w:r w:rsidRPr="00436330">
        <w:t xml:space="preserve"> – </w:t>
      </w:r>
      <w:r w:rsidRPr="008B4F60">
        <w:t>how</w:t>
      </w:r>
      <w:r w:rsidRPr="00436330">
        <w:t xml:space="preserve"> are conditions used?</w:t>
      </w:r>
      <w:bookmarkEnd w:id="4"/>
    </w:p>
    <w:p w14:paraId="0C9A5AF2" w14:textId="6F5E5EEA" w:rsidR="00F373D5" w:rsidRPr="00436330" w:rsidRDefault="00F373D5" w:rsidP="008B4F60">
      <w:pPr>
        <w:pStyle w:val="Bullet"/>
        <w:numPr>
          <w:ilvl w:val="0"/>
          <w:numId w:val="0"/>
        </w:numPr>
      </w:pPr>
      <w:bookmarkStart w:id="5" w:name="tempbookmark"/>
      <w:bookmarkEnd w:id="5"/>
      <w:r w:rsidRPr="00436330">
        <w:t>The Treasurer is the decision</w:t>
      </w:r>
      <w:r w:rsidR="004533FC">
        <w:noBreakHyphen/>
      </w:r>
      <w:r w:rsidRPr="00436330">
        <w:t>maker responsible for Australia</w:t>
      </w:r>
      <w:r w:rsidR="004533FC">
        <w:t>’</w:t>
      </w:r>
      <w:r w:rsidRPr="00436330">
        <w:t>s foreign investment policy and administration of the Act. The FIRB is a non</w:t>
      </w:r>
      <w:r w:rsidR="004533FC">
        <w:noBreakHyphen/>
      </w:r>
      <w:r w:rsidRPr="00436330">
        <w:t>statutory body established to advise the Treasurer and the Government on Australia</w:t>
      </w:r>
      <w:r w:rsidR="004533FC">
        <w:t>’</w:t>
      </w:r>
      <w:r w:rsidRPr="00436330">
        <w:t xml:space="preserve">s Foreign Investment Policy and its administration. </w:t>
      </w:r>
    </w:p>
    <w:p w14:paraId="189FA0C7" w14:textId="77777777" w:rsidR="00F373D5" w:rsidRPr="00436330" w:rsidRDefault="00F373D5" w:rsidP="008B4F60">
      <w:pPr>
        <w:pStyle w:val="Bullet"/>
        <w:numPr>
          <w:ilvl w:val="0"/>
          <w:numId w:val="0"/>
        </w:numPr>
      </w:pPr>
      <w:r w:rsidRPr="00436330">
        <w:t xml:space="preserve">As the regulator, the Treasury formulates proposed conditions to address national interest risks identified in consultation with partner agencies for consideration by the FIRB and the Treasurer. </w:t>
      </w:r>
    </w:p>
    <w:p w14:paraId="3EE7A1DF" w14:textId="77777777" w:rsidR="00F373D5" w:rsidRPr="00436330" w:rsidRDefault="00F373D5" w:rsidP="008B4F60">
      <w:pPr>
        <w:pStyle w:val="Bullet"/>
        <w:numPr>
          <w:ilvl w:val="0"/>
          <w:numId w:val="0"/>
        </w:numPr>
      </w:pPr>
      <w:r w:rsidRPr="00436330">
        <w:t xml:space="preserve">As the agency responsible for administering the Act, the Treasury has three objectives when considering the viability and appropriateness of conditions: </w:t>
      </w:r>
    </w:p>
    <w:p w14:paraId="5739CEF6" w14:textId="77777777" w:rsidR="00F373D5" w:rsidRPr="00436330" w:rsidRDefault="00F373D5" w:rsidP="008B4F60">
      <w:pPr>
        <w:pStyle w:val="Bullet"/>
      </w:pPr>
      <w:r w:rsidRPr="00436330">
        <w:t xml:space="preserve">To ensure that conditions meet legal requirements, including that they are </w:t>
      </w:r>
      <w:r w:rsidRPr="008B4F60">
        <w:t>required</w:t>
      </w:r>
      <w:r w:rsidRPr="00436330">
        <w:t xml:space="preserve"> to mitigate risks to the national interest or national </w:t>
      </w:r>
      <w:proofErr w:type="gramStart"/>
      <w:r w:rsidRPr="00436330">
        <w:t>security;</w:t>
      </w:r>
      <w:proofErr w:type="gramEnd"/>
    </w:p>
    <w:p w14:paraId="5FC5A33C" w14:textId="09176608" w:rsidR="00F373D5" w:rsidRPr="00436330" w:rsidRDefault="00F373D5" w:rsidP="008B4F60">
      <w:pPr>
        <w:pStyle w:val="Bullet"/>
      </w:pPr>
      <w:r w:rsidRPr="00436330">
        <w:t>To ensure that conditions are consistent with our regulatory approach and limit the impact of regulatory activity on investors, where possible; and</w:t>
      </w:r>
    </w:p>
    <w:p w14:paraId="3C1415E8" w14:textId="77777777" w:rsidR="00F373D5" w:rsidRPr="00436330" w:rsidRDefault="00F373D5" w:rsidP="008B4F60">
      <w:pPr>
        <w:pStyle w:val="Bullet"/>
      </w:pPr>
      <w:r w:rsidRPr="00436330">
        <w:t xml:space="preserve">To ensure that conditions uphold the integrity and credibility of the foreign </w:t>
      </w:r>
      <w:r w:rsidRPr="008B4F60">
        <w:t>investment</w:t>
      </w:r>
      <w:r w:rsidRPr="00436330">
        <w:t xml:space="preserve"> regime, including through enabling appropriate compliance monitoring, and enforcement when needed.</w:t>
      </w:r>
    </w:p>
    <w:p w14:paraId="69992857" w14:textId="77777777" w:rsidR="00F373D5" w:rsidRPr="00436330" w:rsidRDefault="00F373D5" w:rsidP="008B4F60">
      <w:pPr>
        <w:pStyle w:val="Bullet"/>
        <w:numPr>
          <w:ilvl w:val="0"/>
          <w:numId w:val="0"/>
        </w:numPr>
      </w:pPr>
      <w:r w:rsidRPr="00436330">
        <w:t xml:space="preserve">In preparing its advice on what conditions, if any, are necessary to ensure that the proposal would not be contrary to the national interest or to national security, or whether they should be imposed on an exemption certificate, the Treasury consults with a range of Commonwealth, </w:t>
      </w:r>
      <w:proofErr w:type="gramStart"/>
      <w:r>
        <w:t>s</w:t>
      </w:r>
      <w:r w:rsidRPr="00436330">
        <w:t>tate</w:t>
      </w:r>
      <w:proofErr w:type="gramEnd"/>
      <w:r w:rsidRPr="00436330">
        <w:t xml:space="preserve"> and </w:t>
      </w:r>
      <w:r>
        <w:t>t</w:t>
      </w:r>
      <w:r w:rsidRPr="00436330">
        <w:t xml:space="preserve">erritory partner agencies to ensure a whole of government perspective is applied. </w:t>
      </w:r>
    </w:p>
    <w:p w14:paraId="33AD8140" w14:textId="5CF65FB5" w:rsidR="00F373D5" w:rsidRPr="00436330" w:rsidRDefault="00F373D5" w:rsidP="008B4F60">
      <w:pPr>
        <w:pStyle w:val="Bullet"/>
        <w:numPr>
          <w:ilvl w:val="0"/>
          <w:numId w:val="0"/>
        </w:numPr>
      </w:pPr>
      <w:r w:rsidRPr="00436330">
        <w:t>Recommendations from the Treasury and its partner agencies must be in accordance with the legal requirements of the Act and consistent with Australia</w:t>
      </w:r>
      <w:r w:rsidR="004533FC">
        <w:t>’</w:t>
      </w:r>
      <w:r w:rsidRPr="00436330">
        <w:t>s international agreements.</w:t>
      </w:r>
    </w:p>
    <w:p w14:paraId="2F697191" w14:textId="77777777" w:rsidR="00F373D5" w:rsidRPr="00436330" w:rsidRDefault="00F373D5" w:rsidP="008B4F60">
      <w:pPr>
        <w:pStyle w:val="Heading2"/>
        <w:keepLines/>
      </w:pPr>
      <w:bookmarkStart w:id="6" w:name="_Toc75967360"/>
      <w:r w:rsidRPr="00436330">
        <w:t>E: Types of conditions</w:t>
      </w:r>
      <w:bookmarkEnd w:id="6"/>
      <w:r w:rsidRPr="00436330">
        <w:t xml:space="preserve"> </w:t>
      </w:r>
    </w:p>
    <w:p w14:paraId="7B368FD4" w14:textId="77777777" w:rsidR="00F373D5" w:rsidRPr="00436330" w:rsidRDefault="00F373D5" w:rsidP="008B4F60">
      <w:pPr>
        <w:pStyle w:val="Bullet"/>
        <w:numPr>
          <w:ilvl w:val="0"/>
          <w:numId w:val="0"/>
        </w:numPr>
      </w:pPr>
      <w:r w:rsidRPr="00436330">
        <w:t xml:space="preserve">To support the guidance principles, in consultation with partner agencies, the Treasury seeks to apply consistent conditions to foreign investment proposals while still recognising the need to be flexible in addressing the risks posed by individual cases. </w:t>
      </w:r>
    </w:p>
    <w:p w14:paraId="16B068B7" w14:textId="77777777" w:rsidR="00F373D5" w:rsidRPr="00436330" w:rsidRDefault="00F373D5" w:rsidP="008B4F60">
      <w:pPr>
        <w:pStyle w:val="Bullet"/>
        <w:numPr>
          <w:ilvl w:val="0"/>
          <w:numId w:val="0"/>
        </w:numPr>
      </w:pPr>
      <w:r w:rsidRPr="00436330">
        <w:t>Commonly used conditions are grouped according to the type of risk to the national interest they seek to mitigate, or the mechanism by which they do so. Over time, it is expected that this will support better regulatory practice and improve investor experience by streamlining the process of developing and settling conditions.</w:t>
      </w:r>
    </w:p>
    <w:p w14:paraId="08ADE38A" w14:textId="77777777" w:rsidR="00F373D5" w:rsidRPr="00436330" w:rsidRDefault="00F373D5" w:rsidP="008B4F60">
      <w:pPr>
        <w:pStyle w:val="Heading3"/>
      </w:pPr>
      <w:r w:rsidRPr="00436330">
        <w:lastRenderedPageBreak/>
        <w:t>The national interest</w:t>
      </w:r>
    </w:p>
    <w:p w14:paraId="11FEDB4F" w14:textId="77777777" w:rsidR="00F373D5" w:rsidRPr="00F373D5" w:rsidRDefault="00F373D5" w:rsidP="008B4F60">
      <w:pPr>
        <w:shd w:val="clear" w:color="auto" w:fill="FFFFFF"/>
        <w:spacing w:after="150"/>
      </w:pPr>
      <w:r w:rsidRPr="00F373D5">
        <w:t xml:space="preserve">The Act confers upon the Treasurer the power to decide in each case whether a particular investment would be contrary to the national interest. </w:t>
      </w:r>
    </w:p>
    <w:p w14:paraId="793025AF" w14:textId="55CFD9DE" w:rsidR="00F373D5" w:rsidRPr="00F373D5" w:rsidRDefault="00F373D5" w:rsidP="008B4F60">
      <w:pPr>
        <w:shd w:val="clear" w:color="auto" w:fill="FFFFFF"/>
        <w:spacing w:after="150"/>
      </w:pPr>
      <w:r w:rsidRPr="00F373D5">
        <w:t>The Government recognises community concerns about foreign ownership of certain Australian assets. The framework allows the government to consider these concerns when addressing Australia</w:t>
      </w:r>
      <w:r w:rsidR="004533FC">
        <w:t>’</w:t>
      </w:r>
      <w:r w:rsidRPr="00F373D5">
        <w:t xml:space="preserve">s national interest. </w:t>
      </w:r>
    </w:p>
    <w:p w14:paraId="4722AF6C" w14:textId="0F6FC06E" w:rsidR="00F373D5" w:rsidRPr="00F373D5" w:rsidRDefault="00F373D5" w:rsidP="008B4F60">
      <w:pPr>
        <w:shd w:val="clear" w:color="auto" w:fill="FFFFFF"/>
        <w:spacing w:after="150"/>
      </w:pPr>
      <w:r w:rsidRPr="00F373D5">
        <w:t>The Treasury considers a range of factors and the relative importance of these can vary depending upon the nature of the foreign investment proposal. These are further discussed in Australia</w:t>
      </w:r>
      <w:r w:rsidR="004533FC">
        <w:t>’</w:t>
      </w:r>
      <w:r w:rsidRPr="00F373D5">
        <w:t xml:space="preserve">s Foreign Investment Policy. </w:t>
      </w:r>
    </w:p>
    <w:p w14:paraId="18B09E06" w14:textId="77777777" w:rsidR="00F373D5" w:rsidRPr="00436330" w:rsidRDefault="00F373D5" w:rsidP="003E58A5">
      <w:pPr>
        <w:pStyle w:val="Heading3"/>
        <w:spacing w:line="240" w:lineRule="auto"/>
      </w:pPr>
      <w:r w:rsidRPr="00436330">
        <w:t xml:space="preserve">Types of condition </w:t>
      </w:r>
      <w:r w:rsidRPr="008B4F60">
        <w:t>commonly</w:t>
      </w:r>
      <w:r w:rsidRPr="00436330">
        <w:t xml:space="preserve"> used to address aspects of the national interest</w:t>
      </w:r>
    </w:p>
    <w:p w14:paraId="4AAB1336" w14:textId="62B31451" w:rsidR="00F373D5" w:rsidRPr="00436330" w:rsidRDefault="00F373D5" w:rsidP="008B4F60">
      <w:r w:rsidRPr="00436330">
        <w:t>Note that the examples provided below represent a non</w:t>
      </w:r>
      <w:r w:rsidR="004533FC">
        <w:noBreakHyphen/>
      </w:r>
      <w:r w:rsidRPr="00436330">
        <w:t>exhaustive description of the characteristics of some conditions used to mitigate risks arising from different types of foreign investment.</w:t>
      </w:r>
    </w:p>
    <w:p w14:paraId="200CDFF4" w14:textId="77777777" w:rsidR="00F373D5" w:rsidRPr="00436330" w:rsidRDefault="00F373D5" w:rsidP="008B4F60">
      <w:pPr>
        <w:pStyle w:val="Heading4"/>
      </w:pPr>
      <w:r w:rsidRPr="00436330">
        <w:t>General Considerations</w:t>
      </w:r>
    </w:p>
    <w:p w14:paraId="28F8453F" w14:textId="77777777" w:rsidR="00F373D5" w:rsidRPr="00436330" w:rsidRDefault="00F373D5" w:rsidP="008B4F60">
      <w:r w:rsidRPr="00436330">
        <w:rPr>
          <w:u w:val="single"/>
        </w:rPr>
        <w:t>Reporting conditions</w:t>
      </w:r>
      <w:r w:rsidRPr="00436330">
        <w:t xml:space="preserve"> are applied to all conditional no objection notifications and exemption certificates recommended by Treasury. </w:t>
      </w:r>
    </w:p>
    <w:p w14:paraId="57853ECD" w14:textId="77777777" w:rsidR="00F373D5" w:rsidRPr="00436330" w:rsidRDefault="00F373D5" w:rsidP="008B4F60">
      <w:r w:rsidRPr="00436330">
        <w:t xml:space="preserve">If only standard tax conditions are imposed, the reporting obligations are contained within those. See the </w:t>
      </w:r>
      <w:r w:rsidRPr="00436330">
        <w:rPr>
          <w:i/>
        </w:rPr>
        <w:t>Tax Conditions</w:t>
      </w:r>
      <w:r w:rsidRPr="00436330">
        <w:t xml:space="preserve"> Guidance Note.</w:t>
      </w:r>
    </w:p>
    <w:p w14:paraId="2DC7322A" w14:textId="77777777" w:rsidR="00F373D5" w:rsidRPr="00436330" w:rsidRDefault="00F373D5" w:rsidP="008B4F60">
      <w:r w:rsidRPr="00436330">
        <w:t xml:space="preserve">For other conditional no objection notifications there will be a requirement for independent compliance audit or, in low risk, low consideration cases, for reporting in a specified form by an officer of the investor. See the </w:t>
      </w:r>
      <w:r w:rsidRPr="00436330">
        <w:rPr>
          <w:i/>
        </w:rPr>
        <w:t>Conditions Reporting</w:t>
      </w:r>
      <w:r w:rsidRPr="00436330">
        <w:t xml:space="preserve"> Guidance Note </w:t>
      </w:r>
      <w:r w:rsidRPr="00436330">
        <w:rPr>
          <w:rFonts w:eastAsiaTheme="minorHAnsi"/>
          <w:lang w:eastAsia="en-US"/>
        </w:rPr>
        <w:t>for further details</w:t>
      </w:r>
      <w:r w:rsidRPr="00436330">
        <w:t xml:space="preserve">. </w:t>
      </w:r>
    </w:p>
    <w:p w14:paraId="4DDC3A1E" w14:textId="06018621" w:rsidR="004533FC" w:rsidRDefault="00F373D5" w:rsidP="008B4F60">
      <w:r w:rsidRPr="00436330">
        <w:t>Investors receiving an exemption certificate are typically required to provide periodic reporting detailing all acquisitions made under the certificate and to report on any material change in their ownership structure. If the exemption certificate is subject to geographic or other sub</w:t>
      </w:r>
      <w:r w:rsidR="004533FC">
        <w:noBreakHyphen/>
      </w:r>
      <w:r w:rsidRPr="00436330">
        <w:t xml:space="preserve">limits or other constraints, there may be independent audit reporting required in relation </w:t>
      </w:r>
      <w:r w:rsidR="00875CB6">
        <w:br/>
      </w:r>
      <w:r w:rsidRPr="00436330">
        <w:t xml:space="preserve">to compliance with those elements. </w:t>
      </w:r>
      <w:r w:rsidR="004533FC">
        <w:br w:type="page"/>
      </w:r>
    </w:p>
    <w:p w14:paraId="14AE67F8" w14:textId="77777777" w:rsidR="00F373D5" w:rsidRPr="00436330" w:rsidRDefault="00F373D5" w:rsidP="008B4F60">
      <w:pPr>
        <w:pStyle w:val="Heading3"/>
      </w:pPr>
      <w:r w:rsidRPr="00436330">
        <w:lastRenderedPageBreak/>
        <w:t xml:space="preserve">National </w:t>
      </w:r>
      <w:r w:rsidRPr="008B4F60">
        <w:t>security</w:t>
      </w:r>
    </w:p>
    <w:p w14:paraId="01D74B1F" w14:textId="77777777" w:rsidR="00F373D5" w:rsidRPr="00436330" w:rsidRDefault="00F373D5" w:rsidP="008B4F60">
      <w:pPr>
        <w:rPr>
          <w:lang w:val="en"/>
        </w:rPr>
      </w:pPr>
      <w:r w:rsidRPr="00436330">
        <w:rPr>
          <w:lang w:val="en"/>
        </w:rPr>
        <w:t>Several types of condition are employed to address national security risks, whether as a subset of broader national interest considerations or specifically under the national security powers of the Act, depending on the nature of the investment and the assessed risk.</w:t>
      </w:r>
    </w:p>
    <w:p w14:paraId="3B699650" w14:textId="273B43DD" w:rsidR="00F373D5" w:rsidRPr="00436330" w:rsidRDefault="00F373D5" w:rsidP="008B4F60">
      <w:pPr>
        <w:rPr>
          <w:lang w:val="en"/>
        </w:rPr>
      </w:pPr>
      <w:r w:rsidRPr="00436330">
        <w:rPr>
          <w:u w:val="single"/>
          <w:lang w:val="en"/>
        </w:rPr>
        <w:t>Board and governance</w:t>
      </w:r>
      <w:r w:rsidRPr="00436330">
        <w:rPr>
          <w:lang w:val="en"/>
        </w:rPr>
        <w:t xml:space="preserve"> conditions are designed to support national security by more closely connecting the company with Australian values, regulatory </w:t>
      </w:r>
      <w:proofErr w:type="gramStart"/>
      <w:r w:rsidRPr="00436330">
        <w:rPr>
          <w:lang w:val="en"/>
        </w:rPr>
        <w:t>environment</w:t>
      </w:r>
      <w:proofErr w:type="gramEnd"/>
      <w:r w:rsidRPr="00436330">
        <w:rPr>
          <w:lang w:val="en"/>
        </w:rPr>
        <w:t xml:space="preserve"> and community perspectives. They signal the importance of Australia</w:t>
      </w:r>
      <w:r w:rsidR="004533FC">
        <w:rPr>
          <w:lang w:val="en"/>
        </w:rPr>
        <w:t>’</w:t>
      </w:r>
      <w:r w:rsidRPr="00436330">
        <w:rPr>
          <w:lang w:val="en"/>
        </w:rPr>
        <w:t xml:space="preserve">s interest to incoming investors. </w:t>
      </w:r>
      <w:proofErr w:type="gramStart"/>
      <w:r w:rsidRPr="00436330">
        <w:rPr>
          <w:lang w:val="en"/>
        </w:rPr>
        <w:t>Typically</w:t>
      </w:r>
      <w:proofErr w:type="gramEnd"/>
      <w:r w:rsidRPr="00436330">
        <w:rPr>
          <w:lang w:val="en"/>
        </w:rPr>
        <w:t xml:space="preserve"> they may specify:</w:t>
      </w:r>
    </w:p>
    <w:p w14:paraId="5CB861CA" w14:textId="0383592A" w:rsidR="00F373D5" w:rsidRDefault="00F373D5" w:rsidP="008B4F60">
      <w:pPr>
        <w:pStyle w:val="Bullet"/>
      </w:pPr>
      <w:r w:rsidRPr="00436330">
        <w:t xml:space="preserve">a certain number or proportion of directors who are Australian citizens ordinarily resident </w:t>
      </w:r>
      <w:r w:rsidR="00875CB6">
        <w:br/>
      </w:r>
      <w:r w:rsidRPr="00436330">
        <w:t xml:space="preserve">in </w:t>
      </w:r>
      <w:proofErr w:type="gramStart"/>
      <w:r w:rsidRPr="00436330">
        <w:t>Australia;</w:t>
      </w:r>
      <w:proofErr w:type="gramEnd"/>
    </w:p>
    <w:p w14:paraId="6439A650" w14:textId="77777777" w:rsidR="00F373D5" w:rsidRPr="00436330" w:rsidRDefault="00F373D5" w:rsidP="008B4F60">
      <w:pPr>
        <w:pStyle w:val="Bullet"/>
      </w:pPr>
      <w:r w:rsidRPr="00436330">
        <w:t xml:space="preserve">characteristics of the Chair; </w:t>
      </w:r>
      <w:r w:rsidRPr="008B4F60">
        <w:t>and</w:t>
      </w:r>
      <w:r w:rsidRPr="00436330">
        <w:t>/or</w:t>
      </w:r>
    </w:p>
    <w:p w14:paraId="12AE310B" w14:textId="77777777" w:rsidR="00F373D5" w:rsidRPr="00436330" w:rsidRDefault="00F373D5" w:rsidP="008B4F60">
      <w:pPr>
        <w:pStyle w:val="Bullet"/>
      </w:pPr>
      <w:r w:rsidRPr="00436330">
        <w:t xml:space="preserve">requirements for a </w:t>
      </w:r>
      <w:r w:rsidRPr="008B4F60">
        <w:t>quorum</w:t>
      </w:r>
      <w:r w:rsidRPr="00436330">
        <w:t xml:space="preserve">. </w:t>
      </w:r>
    </w:p>
    <w:p w14:paraId="3F9C2EA4" w14:textId="77777777" w:rsidR="00F373D5" w:rsidRPr="00436330" w:rsidRDefault="00F373D5" w:rsidP="008B4F60">
      <w:r w:rsidRPr="00436330">
        <w:t xml:space="preserve">Conditions relating to the treatment of </w:t>
      </w:r>
      <w:r w:rsidRPr="00436330">
        <w:rPr>
          <w:u w:val="single"/>
        </w:rPr>
        <w:t>sensitive data</w:t>
      </w:r>
      <w:r w:rsidRPr="00436330">
        <w:t xml:space="preserve"> seek to mitigate risks of unauthorised access, corruption, </w:t>
      </w:r>
      <w:proofErr w:type="gramStart"/>
      <w:r w:rsidRPr="00436330">
        <w:t>denial</w:t>
      </w:r>
      <w:proofErr w:type="gramEnd"/>
      <w:r w:rsidRPr="00436330">
        <w:t xml:space="preserve"> or exfiltration. They may specify:</w:t>
      </w:r>
    </w:p>
    <w:p w14:paraId="65B61388" w14:textId="77777777" w:rsidR="00F373D5" w:rsidRPr="00436330" w:rsidRDefault="00F373D5" w:rsidP="008B4F60">
      <w:pPr>
        <w:pStyle w:val="Bullet"/>
      </w:pPr>
      <w:r w:rsidRPr="00436330">
        <w:t xml:space="preserve">requirements for development and implementation of data security policies and procedures that extend beyond the requirements of general Australian </w:t>
      </w:r>
      <w:proofErr w:type="gramStart"/>
      <w:r w:rsidRPr="00436330">
        <w:t>law;</w:t>
      </w:r>
      <w:proofErr w:type="gramEnd"/>
    </w:p>
    <w:p w14:paraId="15182CF7" w14:textId="77777777" w:rsidR="00F373D5" w:rsidRPr="00436330" w:rsidRDefault="00F373D5" w:rsidP="008B4F60">
      <w:pPr>
        <w:pStyle w:val="Bullet"/>
      </w:pPr>
      <w:r w:rsidRPr="00436330">
        <w:t xml:space="preserve">restrictions on access to specified data by directors, </w:t>
      </w:r>
      <w:r w:rsidRPr="008B4F60">
        <w:t>representatives</w:t>
      </w:r>
      <w:r w:rsidRPr="00436330">
        <w:t xml:space="preserve"> and staff of the </w:t>
      </w:r>
      <w:proofErr w:type="gramStart"/>
      <w:r w:rsidRPr="00436330">
        <w:t>investor;</w:t>
      </w:r>
      <w:proofErr w:type="gramEnd"/>
    </w:p>
    <w:p w14:paraId="5B81AA10" w14:textId="77777777" w:rsidR="00F373D5" w:rsidRPr="00436330" w:rsidRDefault="00F373D5" w:rsidP="008B4F60">
      <w:pPr>
        <w:pStyle w:val="Bullet"/>
      </w:pPr>
      <w:r w:rsidRPr="00436330">
        <w:t xml:space="preserve">restrictions on the location of data </w:t>
      </w:r>
      <w:r w:rsidRPr="008B4F60">
        <w:t>storage</w:t>
      </w:r>
      <w:r w:rsidRPr="00436330">
        <w:t xml:space="preserve"> and </w:t>
      </w:r>
      <w:proofErr w:type="gramStart"/>
      <w:r w:rsidRPr="00436330">
        <w:t>access;</w:t>
      </w:r>
      <w:proofErr w:type="gramEnd"/>
    </w:p>
    <w:p w14:paraId="186619B5" w14:textId="77777777" w:rsidR="00F373D5" w:rsidRPr="00436330" w:rsidRDefault="00F373D5" w:rsidP="008B4F60">
      <w:pPr>
        <w:pStyle w:val="Bullet"/>
      </w:pPr>
      <w:r w:rsidRPr="00436330">
        <w:t xml:space="preserve">cybersecurity </w:t>
      </w:r>
      <w:r w:rsidRPr="008B4F60">
        <w:t>arrangements</w:t>
      </w:r>
      <w:r w:rsidRPr="00436330">
        <w:t>; and/or</w:t>
      </w:r>
    </w:p>
    <w:p w14:paraId="1FF4EBD4" w14:textId="77777777" w:rsidR="00F373D5" w:rsidRPr="00436330" w:rsidRDefault="00F373D5" w:rsidP="008B4F60">
      <w:pPr>
        <w:pStyle w:val="Bullet"/>
      </w:pPr>
      <w:r w:rsidRPr="00436330">
        <w:t>reporting requirements in the event of a data breach.</w:t>
      </w:r>
    </w:p>
    <w:p w14:paraId="1207EAE7" w14:textId="77777777" w:rsidR="00F373D5" w:rsidRPr="00436330" w:rsidRDefault="00F373D5" w:rsidP="008B4F60">
      <w:r w:rsidRPr="00436330">
        <w:t xml:space="preserve">Conditions relating to </w:t>
      </w:r>
      <w:r w:rsidRPr="00436330">
        <w:rPr>
          <w:u w:val="single"/>
        </w:rPr>
        <w:t>sensitive infrastructure</w:t>
      </w:r>
      <w:r w:rsidRPr="00436330">
        <w:t xml:space="preserve"> seek to mitigate risks relating to espionage and sabotage and may include ensuring that operational control or maintenance of sensitive assets generally occurs from within Australia.</w:t>
      </w:r>
    </w:p>
    <w:p w14:paraId="54CB4CF3" w14:textId="77777777" w:rsidR="00F373D5" w:rsidRPr="00436330" w:rsidRDefault="00F373D5" w:rsidP="008B4F60">
      <w:r w:rsidRPr="00436330">
        <w:t xml:space="preserve">Conditions relating to </w:t>
      </w:r>
      <w:r w:rsidRPr="00436330">
        <w:rPr>
          <w:u w:val="single"/>
        </w:rPr>
        <w:t>commercial property</w:t>
      </w:r>
      <w:r w:rsidRPr="00436330">
        <w:t xml:space="preserve"> seek to mitigate risks relating to client security, and may include:</w:t>
      </w:r>
    </w:p>
    <w:p w14:paraId="1653E67D" w14:textId="77777777" w:rsidR="00F373D5" w:rsidRPr="00436330" w:rsidRDefault="00F373D5" w:rsidP="008B4F60">
      <w:pPr>
        <w:pStyle w:val="Bullet"/>
      </w:pPr>
      <w:r w:rsidRPr="00436330">
        <w:t xml:space="preserve">notification to tenants of changes in ownership and/or property </w:t>
      </w:r>
      <w:r w:rsidRPr="008B4F60">
        <w:t>management</w:t>
      </w:r>
      <w:r w:rsidRPr="00436330">
        <w:t>; and/or</w:t>
      </w:r>
    </w:p>
    <w:p w14:paraId="2BBE0594" w14:textId="77777777" w:rsidR="00F373D5" w:rsidRPr="00436330" w:rsidRDefault="00F373D5" w:rsidP="008B4F60">
      <w:pPr>
        <w:pStyle w:val="Bullet"/>
      </w:pPr>
      <w:r w:rsidRPr="00436330">
        <w:t xml:space="preserve">restrictions on investor access to the </w:t>
      </w:r>
      <w:r w:rsidRPr="008B4F60">
        <w:t>property</w:t>
      </w:r>
      <w:r w:rsidRPr="00436330">
        <w:t>.</w:t>
      </w:r>
    </w:p>
    <w:p w14:paraId="33E8D323" w14:textId="77777777" w:rsidR="00F373D5" w:rsidRPr="00436330" w:rsidRDefault="00F373D5" w:rsidP="008B4F60">
      <w:r w:rsidRPr="00436330">
        <w:t xml:space="preserve">Conditions may also be imposed to restrict the types of activity permitted on land </w:t>
      </w:r>
      <w:proofErr w:type="gramStart"/>
      <w:r w:rsidRPr="00436330">
        <w:t>in close proximity to</w:t>
      </w:r>
      <w:proofErr w:type="gramEnd"/>
      <w:r w:rsidRPr="00436330">
        <w:t xml:space="preserve"> sensitive land or facilities.</w:t>
      </w:r>
    </w:p>
    <w:p w14:paraId="05F8AD6D" w14:textId="77777777" w:rsidR="00F373D5" w:rsidRPr="00436330" w:rsidRDefault="00F373D5" w:rsidP="008B4F60">
      <w:pPr>
        <w:pStyle w:val="Heading3"/>
      </w:pPr>
      <w:r w:rsidRPr="00436330">
        <w:t>Other Australian Government policies (</w:t>
      </w:r>
      <w:r w:rsidRPr="008B4F60">
        <w:t>including</w:t>
      </w:r>
      <w:r w:rsidRPr="00436330">
        <w:t xml:space="preserve"> tax)</w:t>
      </w:r>
    </w:p>
    <w:p w14:paraId="3021DB8E" w14:textId="77777777" w:rsidR="00F373D5" w:rsidRPr="00436330" w:rsidRDefault="00F373D5" w:rsidP="004533FC">
      <w:r w:rsidRPr="00436330">
        <w:t xml:space="preserve">Standard tax conditions are set out in the </w:t>
      </w:r>
      <w:r w:rsidRPr="00436330">
        <w:rPr>
          <w:i/>
        </w:rPr>
        <w:t>Tax Conditions</w:t>
      </w:r>
      <w:r w:rsidRPr="00436330">
        <w:t xml:space="preserve"> Guidance Note.</w:t>
      </w:r>
    </w:p>
    <w:p w14:paraId="1DF0AFD4" w14:textId="7A4009AB" w:rsidR="00F373D5" w:rsidRPr="00436330" w:rsidRDefault="00F373D5" w:rsidP="004533FC">
      <w:r w:rsidRPr="00436330">
        <w:t>Conditions to support competition policy may restrict the aggregate ownership by associated investors in a specific industry or sub</w:t>
      </w:r>
      <w:r w:rsidR="004533FC">
        <w:noBreakHyphen/>
      </w:r>
      <w:r w:rsidRPr="00436330">
        <w:t>market.</w:t>
      </w:r>
    </w:p>
    <w:p w14:paraId="3596184E" w14:textId="77777777" w:rsidR="00F373D5" w:rsidRPr="00436330" w:rsidRDefault="00F373D5" w:rsidP="004533FC">
      <w:pPr>
        <w:pStyle w:val="Heading3"/>
      </w:pPr>
      <w:r w:rsidRPr="00436330">
        <w:t xml:space="preserve">Impact on the economy and the </w:t>
      </w:r>
      <w:r w:rsidRPr="004533FC">
        <w:t>community</w:t>
      </w:r>
      <w:r w:rsidRPr="00436330">
        <w:t> </w:t>
      </w:r>
    </w:p>
    <w:p w14:paraId="5A2F3C54" w14:textId="77777777" w:rsidR="00F373D5" w:rsidRPr="00436330" w:rsidRDefault="00F373D5" w:rsidP="004533FC">
      <w:r w:rsidRPr="00436330">
        <w:t xml:space="preserve">Conditions designed to mitigate risks to the community or to the national or regional economy may seek to ensure that there is no abrupt dislocation of a regional economy, that iconic Australian brands remain in production, that there are limits to the extent of foreign control </w:t>
      </w:r>
      <w:r w:rsidRPr="00436330">
        <w:lastRenderedPageBreak/>
        <w:t>and/or management in a particular investment or sector; or that domestic supply of certain goods is preserved. Examples may include:</w:t>
      </w:r>
    </w:p>
    <w:p w14:paraId="612A541B" w14:textId="77777777" w:rsidR="00F373D5" w:rsidRPr="00436330" w:rsidRDefault="00F373D5" w:rsidP="004533FC">
      <w:pPr>
        <w:pStyle w:val="Bullet"/>
      </w:pPr>
      <w:r w:rsidRPr="00436330">
        <w:t xml:space="preserve">requirements to maintain company </w:t>
      </w:r>
      <w:r w:rsidRPr="004533FC">
        <w:t>headquarters</w:t>
      </w:r>
      <w:r w:rsidRPr="00436330">
        <w:t xml:space="preserve"> in </w:t>
      </w:r>
      <w:proofErr w:type="gramStart"/>
      <w:r w:rsidRPr="00436330">
        <w:t>Australia;</w:t>
      </w:r>
      <w:proofErr w:type="gramEnd"/>
      <w:r w:rsidRPr="00436330">
        <w:t xml:space="preserve"> </w:t>
      </w:r>
    </w:p>
    <w:p w14:paraId="2FE977BC" w14:textId="77777777" w:rsidR="00F373D5" w:rsidRPr="00436330" w:rsidRDefault="00F373D5" w:rsidP="004533FC">
      <w:pPr>
        <w:pStyle w:val="Bullet"/>
      </w:pPr>
      <w:r w:rsidRPr="00436330">
        <w:t xml:space="preserve">requirements to limit aggregate overseas control of an investment and/or to ensure Australian management in key </w:t>
      </w:r>
      <w:proofErr w:type="gramStart"/>
      <w:r w:rsidRPr="00436330">
        <w:t>positions;</w:t>
      </w:r>
      <w:proofErr w:type="gramEnd"/>
    </w:p>
    <w:p w14:paraId="2AA33EAA" w14:textId="77777777" w:rsidR="00F373D5" w:rsidRPr="00436330" w:rsidRDefault="00F373D5" w:rsidP="004533FC">
      <w:pPr>
        <w:pStyle w:val="Bullet"/>
      </w:pPr>
      <w:r w:rsidRPr="00436330">
        <w:t xml:space="preserve">requirements to maintain production facilities in specified regional areas without loss of employment for a specific </w:t>
      </w:r>
      <w:proofErr w:type="gramStart"/>
      <w:r w:rsidRPr="00436330">
        <w:t>period;</w:t>
      </w:r>
      <w:proofErr w:type="gramEnd"/>
    </w:p>
    <w:p w14:paraId="6C67139B" w14:textId="77777777" w:rsidR="00F373D5" w:rsidRPr="00436330" w:rsidRDefault="00F373D5" w:rsidP="004533FC">
      <w:pPr>
        <w:pStyle w:val="Bullet"/>
      </w:pPr>
      <w:r w:rsidRPr="00436330">
        <w:t xml:space="preserve">requirements that there should have been an open opportunity for </w:t>
      </w:r>
      <w:r w:rsidRPr="004533FC">
        <w:t>Australian</w:t>
      </w:r>
      <w:r w:rsidRPr="00436330">
        <w:t xml:space="preserve"> investors to acquire a parcel of agricultural land before its purchase by a foreign investor; and/or</w:t>
      </w:r>
    </w:p>
    <w:p w14:paraId="49680EDB" w14:textId="77777777" w:rsidR="00F373D5" w:rsidRPr="00436330" w:rsidRDefault="00F373D5" w:rsidP="004533FC">
      <w:pPr>
        <w:pStyle w:val="Bullet"/>
      </w:pPr>
      <w:r w:rsidRPr="00436330">
        <w:t xml:space="preserve">limitations on aggregate holdings by an investor and its associates in a </w:t>
      </w:r>
      <w:r w:rsidRPr="004533FC">
        <w:t>business</w:t>
      </w:r>
      <w:r w:rsidRPr="00436330">
        <w:t xml:space="preserve">, an industry </w:t>
      </w:r>
      <w:proofErr w:type="gramStart"/>
      <w:r w:rsidRPr="00436330">
        <w:t>sector</w:t>
      </w:r>
      <w:proofErr w:type="gramEnd"/>
      <w:r w:rsidRPr="00436330">
        <w:t xml:space="preserve"> or a geographic region.</w:t>
      </w:r>
    </w:p>
    <w:p w14:paraId="380EB09D" w14:textId="77777777" w:rsidR="00F373D5" w:rsidRPr="00436330" w:rsidRDefault="00F373D5" w:rsidP="004533FC">
      <w:r w:rsidRPr="00436330">
        <w:t>Conditions in relation to undeveloped land seek to mitigate risks associated with land banking and speculation. They may include:</w:t>
      </w:r>
    </w:p>
    <w:p w14:paraId="269A54B3" w14:textId="77777777" w:rsidR="00F373D5" w:rsidRPr="00436330" w:rsidRDefault="00F373D5" w:rsidP="004533FC">
      <w:pPr>
        <w:pStyle w:val="Bullet"/>
      </w:pPr>
      <w:r w:rsidRPr="00436330">
        <w:t xml:space="preserve">requirements to commence continuous construction on the land within a specified </w:t>
      </w:r>
      <w:r w:rsidRPr="004533FC">
        <w:t>period</w:t>
      </w:r>
      <w:r w:rsidRPr="00436330">
        <w:t xml:space="preserve"> and to not sell the land until construction is complete; and/or</w:t>
      </w:r>
    </w:p>
    <w:p w14:paraId="09B00C74" w14:textId="77777777" w:rsidR="00F373D5" w:rsidRPr="00436330" w:rsidRDefault="00F373D5" w:rsidP="004533FC">
      <w:pPr>
        <w:pStyle w:val="Bullet"/>
      </w:pPr>
      <w:r w:rsidRPr="00436330">
        <w:t xml:space="preserve">specification of the type of activity which may be carried out on </w:t>
      </w:r>
      <w:r w:rsidRPr="004533FC">
        <w:t>the</w:t>
      </w:r>
      <w:r w:rsidRPr="00436330">
        <w:t xml:space="preserve"> land.</w:t>
      </w:r>
    </w:p>
    <w:p w14:paraId="41DA852C" w14:textId="77777777" w:rsidR="00F373D5" w:rsidRPr="00436330" w:rsidRDefault="00F373D5" w:rsidP="008B4F60">
      <w:pPr>
        <w:pStyle w:val="Heading2"/>
      </w:pPr>
      <w:bookmarkStart w:id="7" w:name="_Toc75967361"/>
      <w:r w:rsidRPr="00436330">
        <w:t>Further information</w:t>
      </w:r>
      <w:bookmarkEnd w:id="7"/>
    </w:p>
    <w:p w14:paraId="7733CA50" w14:textId="15880046" w:rsidR="00F373D5" w:rsidRPr="00436330" w:rsidRDefault="00F373D5" w:rsidP="008B4F60">
      <w:r w:rsidRPr="00436330">
        <w:t>Further information is available on the</w:t>
      </w:r>
      <w:r w:rsidR="001A4348">
        <w:t xml:space="preserve"> </w:t>
      </w:r>
      <w:hyperlink r:id="rId9" w:history="1">
        <w:r w:rsidR="001A4348" w:rsidRPr="001A4348">
          <w:rPr>
            <w:rStyle w:val="Hyperlink"/>
          </w:rPr>
          <w:t xml:space="preserve">Foreign Investment </w:t>
        </w:r>
        <w:r w:rsidR="00BC0BB5">
          <w:rPr>
            <w:rStyle w:val="Hyperlink"/>
          </w:rPr>
          <w:t>w</w:t>
        </w:r>
        <w:r w:rsidR="001A4348" w:rsidRPr="001A4348">
          <w:rPr>
            <w:rStyle w:val="Hyperlink"/>
          </w:rPr>
          <w:t>ebsite</w:t>
        </w:r>
      </w:hyperlink>
      <w:r w:rsidRPr="00436330">
        <w:t xml:space="preserve"> or by contacting 1800 050 377 from Australia or +61 2 6216 1111 from overseas.</w:t>
      </w:r>
    </w:p>
    <w:p w14:paraId="6BE966EC" w14:textId="52C79ACF" w:rsidR="00F373D5" w:rsidRPr="004533FC" w:rsidRDefault="00F373D5" w:rsidP="004533FC">
      <w:r w:rsidRPr="00436330">
        <w:rPr>
          <w:b/>
        </w:rPr>
        <w:t>Important notice</w:t>
      </w:r>
      <w:r w:rsidRPr="00436330">
        <w:t xml:space="preserve">: This Guidance Note provides a summary of the relevant law. As this Note tries to avoid legal language wherever possible it may include some generalisations about the law. Some provisions of the law referred to have exceptions or important qualifications, not all of which may be described here. The Commonwealth does not guarantee the accuracy, currency or completeness of any information contained in this document and will not accept responsibility for any loss caused by reliance on it. Your </w:t>
      </w:r>
      <w:proofErr w:type="gramStart"/>
      <w:r w:rsidRPr="00436330">
        <w:t>particular circumstances</w:t>
      </w:r>
      <w:proofErr w:type="gramEnd"/>
      <w:r w:rsidRPr="00436330">
        <w:t xml:space="preserve"> must be taken into account when determining how the law applies to you. This Guidance Note is therefore not a substitute for obtaining your own legal advice.</w:t>
      </w:r>
    </w:p>
    <w:sectPr w:rsidR="00F373D5" w:rsidRPr="004533FC" w:rsidSect="00300C95">
      <w:headerReference w:type="default" r:id="rId10"/>
      <w:footerReference w:type="default" r:id="rId11"/>
      <w:headerReference w:type="first" r:id="rId12"/>
      <w:footerReference w:type="first" r:id="rId13"/>
      <w:pgSz w:w="11906" w:h="16838" w:code="9"/>
      <w:pgMar w:top="1702" w:right="1701" w:bottom="1021" w:left="1701" w:header="567" w:footer="251" w:gutter="0"/>
      <w:cols w:space="34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E3AE5" w14:textId="77777777" w:rsidR="00AE6F14" w:rsidRDefault="00AE6F14" w:rsidP="00886BC4">
      <w:r>
        <w:separator/>
      </w:r>
    </w:p>
    <w:p w14:paraId="50262F51" w14:textId="77777777" w:rsidR="00AE6F14" w:rsidRDefault="00AE6F14"/>
  </w:endnote>
  <w:endnote w:type="continuationSeparator" w:id="0">
    <w:p w14:paraId="5B8BAE2A" w14:textId="77777777" w:rsidR="00AE6F14" w:rsidRDefault="00AE6F14" w:rsidP="00886BC4">
      <w:r>
        <w:continuationSeparator/>
      </w:r>
    </w:p>
    <w:p w14:paraId="18A557A7" w14:textId="77777777" w:rsidR="00AE6F14" w:rsidRDefault="00AE6F14"/>
  </w:endnote>
  <w:endnote w:type="continuationNotice" w:id="1">
    <w:p w14:paraId="67EA8188" w14:textId="77777777" w:rsidR="00AE6F14" w:rsidRDefault="00AE6F1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Univers 45 Light">
    <w:altName w:val="Calibri"/>
    <w:charset w:val="00"/>
    <w:family w:val="auto"/>
    <w:pitch w:val="variable"/>
    <w:sig w:usb0="8000002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Book Antiqua">
    <w:panose1 w:val="0204060205030503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EEAF63" w14:textId="3090C48F" w:rsidR="00A15DB7" w:rsidRPr="00E81A92" w:rsidRDefault="00FA7AFD" w:rsidP="00FA7AFD">
    <w:pPr>
      <w:pStyle w:val="Footer"/>
      <w:tabs>
        <w:tab w:val="clear" w:pos="4320"/>
      </w:tabs>
      <w:jc w:val="right"/>
    </w:pPr>
    <w:r w:rsidRPr="00AC3B66">
      <w:rPr>
        <w:noProof/>
        <w:position w:val="-10"/>
      </w:rPr>
      <w:drawing>
        <wp:inline distT="0" distB="0" distL="0" distR="0" wp14:anchorId="7B26BD5F" wp14:editId="183BE232">
          <wp:extent cx="2178000" cy="201600"/>
          <wp:effectExtent l="0" t="0" r="0" b="8255"/>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916DFC">
      <w:t xml:space="preserve">Version </w:t>
    </w:r>
    <w:r w:rsidR="00915431">
      <w:t>2</w:t>
    </w:r>
    <w:r w:rsidR="00916DFC">
      <w:t xml:space="preserve"> (</w:t>
    </w:r>
    <w:r w:rsidR="00915431">
      <w:t>1 July</w:t>
    </w:r>
    <w:r w:rsidR="00916DFC">
      <w:t xml:space="preserve"> 2023)</w:t>
    </w:r>
    <w:r w:rsidR="00E81A92">
      <w:t xml:space="preserve"> |</w:t>
    </w:r>
    <w:r>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89FDA9" w14:textId="724A9946" w:rsidR="00300C95" w:rsidRPr="00E81A92" w:rsidRDefault="00FA7AFD" w:rsidP="00BA123B">
    <w:pPr>
      <w:pStyle w:val="Footer"/>
      <w:tabs>
        <w:tab w:val="clear" w:pos="4320"/>
        <w:tab w:val="clear" w:pos="8640"/>
        <w:tab w:val="center" w:pos="7938"/>
      </w:tabs>
      <w:jc w:val="right"/>
    </w:pPr>
    <w:r w:rsidRPr="00AC3B66">
      <w:rPr>
        <w:noProof/>
        <w:position w:val="-10"/>
      </w:rPr>
      <w:drawing>
        <wp:inline distT="0" distB="0" distL="0" distR="0" wp14:anchorId="6449AEE8" wp14:editId="79C7F071">
          <wp:extent cx="2178000" cy="201600"/>
          <wp:effectExtent l="0" t="0" r="0" b="8255"/>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4" name="Picture 204">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2178000" cy="201600"/>
                  </a:xfrm>
                  <a:prstGeom prst="rect">
                    <a:avLst/>
                  </a:prstGeom>
                </pic:spPr>
              </pic:pic>
            </a:graphicData>
          </a:graphic>
        </wp:inline>
      </w:drawing>
    </w:r>
    <w:r w:rsidR="00E81A92">
      <w:tab/>
    </w:r>
    <w:r w:rsidR="00916DFC">
      <w:t xml:space="preserve">Version </w:t>
    </w:r>
    <w:r w:rsidR="00915431">
      <w:t>2</w:t>
    </w:r>
    <w:r w:rsidR="00916DFC">
      <w:t xml:space="preserve"> (</w:t>
    </w:r>
    <w:r w:rsidR="00915431">
      <w:t>1 July</w:t>
    </w:r>
    <w:r w:rsidR="00916DFC">
      <w:t xml:space="preserve"> 2023)</w:t>
    </w:r>
    <w:r w:rsidR="00E81A92">
      <w:t xml:space="preserve"> |</w:t>
    </w:r>
    <w:r>
      <w:t xml:space="preserve"> </w:t>
    </w:r>
    <w:r w:rsidR="00E81A92" w:rsidRPr="00565A52">
      <w:fldChar w:fldCharType="begin"/>
    </w:r>
    <w:r w:rsidR="00E81A92" w:rsidRPr="00565A52">
      <w:instrText xml:space="preserve"> PAGE   \* MERGEFORMAT </w:instrText>
    </w:r>
    <w:r w:rsidR="00E81A92" w:rsidRPr="00565A52">
      <w:fldChar w:fldCharType="separate"/>
    </w:r>
    <w:r w:rsidR="00E81A92">
      <w:t>1</w:t>
    </w:r>
    <w:r w:rsidR="00E81A92" w:rsidRPr="00565A52">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A5027F6" w14:textId="77777777" w:rsidR="00AE6F14" w:rsidRDefault="00AE6F14" w:rsidP="00886BC4">
      <w:r>
        <w:separator/>
      </w:r>
    </w:p>
    <w:p w14:paraId="1019DA91" w14:textId="77777777" w:rsidR="00AE6F14" w:rsidRDefault="00AE6F14"/>
  </w:footnote>
  <w:footnote w:type="continuationSeparator" w:id="0">
    <w:p w14:paraId="74A518A3" w14:textId="77777777" w:rsidR="00AE6F14" w:rsidRDefault="00AE6F14" w:rsidP="00886BC4">
      <w:r>
        <w:continuationSeparator/>
      </w:r>
    </w:p>
    <w:p w14:paraId="7CAF19F3" w14:textId="77777777" w:rsidR="00AE6F14" w:rsidRDefault="00AE6F14"/>
  </w:footnote>
  <w:footnote w:type="continuationNotice" w:id="1">
    <w:p w14:paraId="23BE636F" w14:textId="77777777" w:rsidR="00AE6F14" w:rsidRDefault="00AE6F1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CE2041" w14:textId="5BE456FE" w:rsidR="006D3EE7" w:rsidRPr="007F53C0" w:rsidRDefault="00FC2E34" w:rsidP="007F53C0">
    <w:pPr>
      <w:pStyle w:val="Header"/>
    </w:pPr>
    <w:r>
      <w:rPr>
        <w:noProof/>
      </w:rPr>
      <w:drawing>
        <wp:anchor distT="0" distB="0" distL="114300" distR="114300" simplePos="0" relativeHeight="251673603" behindDoc="1" locked="0" layoutInCell="1" allowOverlap="1" wp14:anchorId="7D31A552" wp14:editId="74A03FB5">
          <wp:simplePos x="0" y="0"/>
          <wp:positionH relativeFrom="margin">
            <wp:posOffset>-1100455</wp:posOffset>
          </wp:positionH>
          <wp:positionV relativeFrom="page">
            <wp:posOffset>9525</wp:posOffset>
          </wp:positionV>
          <wp:extent cx="7599600" cy="1047600"/>
          <wp:effectExtent l="0" t="0" r="1905" b="635"/>
          <wp:wrapNone/>
          <wp:docPr id="201" name="Picture 20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1" name="Picture 201">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0476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DA137E" w:rsidRPr="007F53C0">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251224" w14:textId="77777777" w:rsidR="00300C95" w:rsidRDefault="00300C95">
    <w:pPr>
      <w:pStyle w:val="Header"/>
    </w:pPr>
    <w:r>
      <w:rPr>
        <w:noProof/>
      </w:rPr>
      <w:drawing>
        <wp:anchor distT="0" distB="0" distL="114300" distR="114300" simplePos="0" relativeHeight="251674627" behindDoc="1" locked="0" layoutInCell="1" allowOverlap="0" wp14:anchorId="7F1642FC" wp14:editId="1414B49C">
          <wp:simplePos x="0" y="0"/>
          <wp:positionH relativeFrom="margin">
            <wp:align>center</wp:align>
          </wp:positionH>
          <wp:positionV relativeFrom="page">
            <wp:align>top</wp:align>
          </wp:positionV>
          <wp:extent cx="7599600" cy="1519200"/>
          <wp:effectExtent l="0" t="0" r="1905" b="5080"/>
          <wp:wrapNone/>
          <wp:docPr id="203" name="Picture 20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3" name="Picture 203">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7599600" cy="151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D3FC7"/>
    <w:multiLevelType w:val="multilevel"/>
    <w:tmpl w:val="79E48CD8"/>
    <w:styleLink w:val="BoxBulletedList"/>
    <w:lvl w:ilvl="0">
      <w:start w:val="1"/>
      <w:numFmt w:val="bullet"/>
      <w:lvlRestart w:val="0"/>
      <w:lvlText w:val="•"/>
      <w:lvlJc w:val="left"/>
      <w:pPr>
        <w:tabs>
          <w:tab w:val="num" w:pos="283"/>
        </w:tabs>
        <w:ind w:left="283" w:hanging="283"/>
      </w:pPr>
      <w:rPr>
        <w:rFonts w:ascii="Times New Roman" w:hAnsi="Times New Roman" w:cs="Times New Roman" w:hint="default"/>
        <w:b w:val="0"/>
        <w:i w:val="0"/>
        <w:sz w:val="20"/>
      </w:rPr>
    </w:lvl>
    <w:lvl w:ilvl="1">
      <w:start w:val="1"/>
      <w:numFmt w:val="bullet"/>
      <w:lvlText w:val="–"/>
      <w:lvlJc w:val="left"/>
      <w:pPr>
        <w:tabs>
          <w:tab w:val="num" w:pos="567"/>
        </w:tabs>
        <w:ind w:left="567" w:hanging="284"/>
      </w:pPr>
      <w:rPr>
        <w:rFonts w:hint="default"/>
        <w:b w:val="0"/>
        <w:i w:val="0"/>
      </w:rPr>
    </w:lvl>
    <w:lvl w:ilvl="2">
      <w:start w:val="1"/>
      <w:numFmt w:val="bullet"/>
      <w:lvlText w:val=":"/>
      <w:lvlJc w:val="left"/>
      <w:pPr>
        <w:tabs>
          <w:tab w:val="num" w:pos="850"/>
        </w:tabs>
        <w:ind w:left="850" w:hanging="283"/>
      </w:pPr>
      <w:rPr>
        <w:rFonts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1" w15:restartNumberingAfterBreak="0">
    <w:nsid w:val="0E0C0FEA"/>
    <w:multiLevelType w:val="multilevel"/>
    <w:tmpl w:val="143A4AF6"/>
    <w:styleLink w:val="StyleBulletedSymbolsymbol11ptLeft4cmHanging05"/>
    <w:lvl w:ilvl="0">
      <w:start w:val="1"/>
      <w:numFmt w:val="bullet"/>
      <w:lvlText w:val=""/>
      <w:lvlJc w:val="left"/>
      <w:pPr>
        <w:tabs>
          <w:tab w:val="num" w:pos="340"/>
        </w:tabs>
        <w:ind w:left="340" w:hanging="340"/>
      </w:pPr>
      <w:rPr>
        <w:rFonts w:ascii="Calibri" w:hAnsi="Calibri"/>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15:restartNumberingAfterBreak="0">
    <w:nsid w:val="0F363D48"/>
    <w:multiLevelType w:val="hybridMultilevel"/>
    <w:tmpl w:val="5E66CBB2"/>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176D5FE2"/>
    <w:multiLevelType w:val="singleLevel"/>
    <w:tmpl w:val="829864E6"/>
    <w:lvl w:ilvl="0">
      <w:start w:val="1"/>
      <w:numFmt w:val="bullet"/>
      <w:pStyle w:val="Tabletextbullet"/>
      <w:lvlText w:val=""/>
      <w:lvlJc w:val="left"/>
      <w:pPr>
        <w:tabs>
          <w:tab w:val="num" w:pos="567"/>
        </w:tabs>
        <w:ind w:left="567" w:hanging="567"/>
      </w:pPr>
      <w:rPr>
        <w:rFonts w:ascii="Wingdings" w:hAnsi="Wingdings" w:hint="default"/>
        <w:b w:val="0"/>
        <w:i w:val="0"/>
        <w:caps w:val="0"/>
        <w:strike w:val="0"/>
        <w:dstrike w:val="0"/>
        <w:vanish w:val="0"/>
        <w:color w:val="000000"/>
        <w:sz w:val="20"/>
        <w:u w:val="none"/>
        <w:vertAlign w:val="baseline"/>
      </w:rPr>
    </w:lvl>
  </w:abstractNum>
  <w:abstractNum w:abstractNumId="4" w15:restartNumberingAfterBreak="0">
    <w:nsid w:val="308C2710"/>
    <w:multiLevelType w:val="multilevel"/>
    <w:tmpl w:val="5804FFF0"/>
    <w:lvl w:ilvl="0">
      <w:start w:val="1"/>
      <w:numFmt w:val="bullet"/>
      <w:lvlRestart w:val="0"/>
      <w:lvlText w:val="•"/>
      <w:lvlJc w:val="left"/>
      <w:pPr>
        <w:tabs>
          <w:tab w:val="num" w:pos="283"/>
        </w:tabs>
        <w:ind w:left="283" w:hanging="283"/>
      </w:pPr>
      <w:rPr>
        <w:rFonts w:ascii="Times New Roman" w:hAnsi="Times New Roman" w:cs="Times New Roman" w:hint="default"/>
        <w:b w:val="0"/>
        <w:i w:val="0"/>
      </w:rPr>
    </w:lvl>
    <w:lvl w:ilvl="1">
      <w:start w:val="1"/>
      <w:numFmt w:val="bullet"/>
      <w:pStyle w:val="Dash"/>
      <w:lvlText w:val="–"/>
      <w:lvlJc w:val="left"/>
      <w:pPr>
        <w:tabs>
          <w:tab w:val="num" w:pos="567"/>
        </w:tabs>
        <w:ind w:left="567" w:hanging="284"/>
      </w:pPr>
      <w:rPr>
        <w:rFonts w:ascii="Times New Roman" w:hAnsi="Times New Roman" w:cs="Times New Roman" w:hint="default"/>
        <w:b w:val="0"/>
        <w:i w:val="0"/>
      </w:rPr>
    </w:lvl>
    <w:lvl w:ilvl="2">
      <w:start w:val="1"/>
      <w:numFmt w:val="bullet"/>
      <w:pStyle w:val="DoubleDot"/>
      <w:lvlText w:val=":"/>
      <w:lvlJc w:val="left"/>
      <w:pPr>
        <w:tabs>
          <w:tab w:val="num" w:pos="850"/>
        </w:tabs>
        <w:ind w:left="850" w:hanging="283"/>
      </w:pPr>
      <w:rPr>
        <w:rFonts w:ascii="Times New Roman" w:hAnsi="Times New Roman" w:cs="Times New Roman" w:hint="default"/>
        <w:b w:val="0"/>
        <w:i w:val="0"/>
      </w:rPr>
    </w:lvl>
    <w:lvl w:ilvl="3">
      <w:start w:val="1"/>
      <w:numFmt w:val="decimal"/>
      <w:lvlText w:val="(%4)"/>
      <w:lvlJc w:val="left"/>
      <w:pPr>
        <w:tabs>
          <w:tab w:val="num" w:pos="1440"/>
        </w:tabs>
        <w:ind w:left="1440" w:hanging="360"/>
      </w:pPr>
      <w:rPr>
        <w:rFonts w:hint="default"/>
        <w:b w:val="0"/>
        <w:i w:val="0"/>
      </w:rPr>
    </w:lvl>
    <w:lvl w:ilvl="4">
      <w:start w:val="1"/>
      <w:numFmt w:val="lowerLetter"/>
      <w:lvlText w:val="(%5)"/>
      <w:lvlJc w:val="left"/>
      <w:pPr>
        <w:tabs>
          <w:tab w:val="num" w:pos="1800"/>
        </w:tabs>
        <w:ind w:left="1800" w:hanging="360"/>
      </w:pPr>
      <w:rPr>
        <w:rFonts w:hint="default"/>
        <w:b w:val="0"/>
        <w:i w:val="0"/>
      </w:rPr>
    </w:lvl>
    <w:lvl w:ilvl="5">
      <w:start w:val="1"/>
      <w:numFmt w:val="lowerRoman"/>
      <w:lvlText w:val="(%6)"/>
      <w:lvlJc w:val="left"/>
      <w:pPr>
        <w:tabs>
          <w:tab w:val="num" w:pos="2160"/>
        </w:tabs>
        <w:ind w:left="2160" w:hanging="360"/>
      </w:pPr>
      <w:rPr>
        <w:rFonts w:hint="default"/>
        <w:b w:val="0"/>
        <w:i w:val="0"/>
      </w:rPr>
    </w:lvl>
    <w:lvl w:ilvl="6">
      <w:start w:val="1"/>
      <w:numFmt w:val="decimal"/>
      <w:lvlText w:val="%7."/>
      <w:lvlJc w:val="left"/>
      <w:pPr>
        <w:tabs>
          <w:tab w:val="num" w:pos="2520"/>
        </w:tabs>
        <w:ind w:left="2520" w:hanging="360"/>
      </w:pPr>
      <w:rPr>
        <w:rFonts w:hint="default"/>
        <w:b w:val="0"/>
        <w:i w:val="0"/>
      </w:rPr>
    </w:lvl>
    <w:lvl w:ilvl="7">
      <w:start w:val="1"/>
      <w:numFmt w:val="lowerLetter"/>
      <w:lvlText w:val="%8."/>
      <w:lvlJc w:val="left"/>
      <w:pPr>
        <w:tabs>
          <w:tab w:val="num" w:pos="2880"/>
        </w:tabs>
        <w:ind w:left="2880" w:hanging="360"/>
      </w:pPr>
      <w:rPr>
        <w:rFonts w:hint="default"/>
        <w:b w:val="0"/>
        <w:i w:val="0"/>
      </w:rPr>
    </w:lvl>
    <w:lvl w:ilvl="8">
      <w:start w:val="1"/>
      <w:numFmt w:val="lowerRoman"/>
      <w:lvlText w:val="%9."/>
      <w:lvlJc w:val="left"/>
      <w:pPr>
        <w:tabs>
          <w:tab w:val="num" w:pos="3240"/>
        </w:tabs>
        <w:ind w:left="3240" w:hanging="360"/>
      </w:pPr>
      <w:rPr>
        <w:rFonts w:hint="default"/>
        <w:b w:val="0"/>
        <w:i w:val="0"/>
      </w:rPr>
    </w:lvl>
  </w:abstractNum>
  <w:abstractNum w:abstractNumId="5" w15:restartNumberingAfterBreak="0">
    <w:nsid w:val="34BA1239"/>
    <w:multiLevelType w:val="multilevel"/>
    <w:tmpl w:val="EA683EC4"/>
    <w:lvl w:ilvl="0">
      <w:start w:val="1"/>
      <w:numFmt w:val="bullet"/>
      <w:lvlText w:val=""/>
      <w:lvlJc w:val="left"/>
      <w:pPr>
        <w:ind w:left="360" w:hanging="360"/>
      </w:pPr>
      <w:rPr>
        <w:rFonts w:ascii="Symbol" w:hAnsi="Symbol" w:hint="default"/>
        <w:color w:val="000000"/>
        <w:sz w:val="28"/>
      </w:rPr>
    </w:lvl>
    <w:lvl w:ilvl="1">
      <w:start w:val="1"/>
      <w:numFmt w:val="bullet"/>
      <w:lvlText w:val=""/>
      <w:lvlJc w:val="left"/>
      <w:pPr>
        <w:tabs>
          <w:tab w:val="num" w:pos="1040"/>
        </w:tabs>
        <w:ind w:left="1040" w:hanging="520"/>
      </w:pPr>
      <w:rPr>
        <w:rFonts w:ascii="Symbol" w:hAnsi="Symbol" w:hint="default"/>
        <w:color w:val="24155A"/>
        <w:sz w:val="28"/>
      </w:rPr>
    </w:lvl>
    <w:lvl w:ilvl="2">
      <w:start w:val="1"/>
      <w:numFmt w:val="bullet"/>
      <w:lvlText w:val=":"/>
      <w:lvlJc w:val="left"/>
      <w:pPr>
        <w:tabs>
          <w:tab w:val="num" w:pos="1560"/>
        </w:tabs>
        <w:ind w:left="1560" w:hanging="520"/>
      </w:pPr>
      <w:rPr>
        <w:rFonts w:ascii="Times New Roman" w:hAnsi="Times New Roman" w:hint="default"/>
        <w:color w:val="24155A"/>
        <w:sz w:val="28"/>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 w15:restartNumberingAfterBreak="0">
    <w:nsid w:val="3FBA022A"/>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7" w15:restartNumberingAfterBreak="0">
    <w:nsid w:val="4FFF2975"/>
    <w:multiLevelType w:val="hybridMultilevel"/>
    <w:tmpl w:val="1F3A3CD8"/>
    <w:lvl w:ilvl="0" w:tplc="B33EF10C">
      <w:start w:val="1"/>
      <w:numFmt w:val="bullet"/>
      <w:pStyle w:val="TableTextBullet0"/>
      <w:lvlText w:val="•"/>
      <w:lvlJc w:val="left"/>
      <w:pPr>
        <w:ind w:left="720" w:hanging="360"/>
      </w:pPr>
      <w:rPr>
        <w:rFonts w:ascii="Times New Roman" w:hAnsi="Times New Roman" w:cs="Times New Roman" w:hint="default"/>
        <w:color w:val="231E6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687230C2"/>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726E4319"/>
    <w:multiLevelType w:val="hybridMultilevel"/>
    <w:tmpl w:val="A22CE942"/>
    <w:lvl w:ilvl="0" w:tplc="0C090011">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7287005A"/>
    <w:multiLevelType w:val="multilevel"/>
    <w:tmpl w:val="007CE68E"/>
    <w:lvl w:ilvl="0">
      <w:start w:val="1"/>
      <w:numFmt w:val="decimal"/>
      <w:pStyle w:val="OutlineNumbered1"/>
      <w:lvlText w:val="%1)"/>
      <w:lvlJc w:val="left"/>
      <w:pPr>
        <w:tabs>
          <w:tab w:val="num" w:pos="567"/>
        </w:tabs>
        <w:ind w:left="567" w:hanging="567"/>
      </w:pPr>
    </w:lvl>
    <w:lvl w:ilvl="1">
      <w:start w:val="1"/>
      <w:numFmt w:val="decimal"/>
      <w:pStyle w:val="OutlineNumbered2"/>
      <w:lvlText w:val="%1.%2."/>
      <w:lvlJc w:val="left"/>
      <w:pPr>
        <w:tabs>
          <w:tab w:val="num" w:pos="1134"/>
        </w:tabs>
        <w:ind w:left="1134" w:hanging="567"/>
      </w:pPr>
      <w:rPr>
        <w:rFonts w:cs="Times New Roman"/>
      </w:rPr>
    </w:lvl>
    <w:lvl w:ilvl="2">
      <w:start w:val="1"/>
      <w:numFmt w:val="decimal"/>
      <w:pStyle w:val="OutlineNumbered3"/>
      <w:lvlText w:val="%1.%2.%3."/>
      <w:lvlJc w:val="left"/>
      <w:pPr>
        <w:tabs>
          <w:tab w:val="num" w:pos="1701"/>
        </w:tabs>
        <w:ind w:left="1701" w:hanging="567"/>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11" w15:restartNumberingAfterBreak="0">
    <w:nsid w:val="77334467"/>
    <w:multiLevelType w:val="multilevel"/>
    <w:tmpl w:val="F37ECF38"/>
    <w:styleLink w:val="StyleBulletedSymbolsymbol11ptLeft4cmHanging051"/>
    <w:lvl w:ilvl="0">
      <w:start w:val="1"/>
      <w:numFmt w:val="bullet"/>
      <w:lvlText w:val=""/>
      <w:lvlJc w:val="left"/>
      <w:pPr>
        <w:tabs>
          <w:tab w:val="num" w:pos="340"/>
        </w:tabs>
        <w:ind w:left="340" w:hanging="340"/>
      </w:pPr>
      <w:rPr>
        <w:rFonts w:ascii="Symbol" w:hAnsi="Symbol"/>
        <w:sz w:val="22"/>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79AA3646"/>
    <w:multiLevelType w:val="hybridMultilevel"/>
    <w:tmpl w:val="935A6FAE"/>
    <w:lvl w:ilvl="0" w:tplc="28082E34">
      <w:start w:val="1"/>
      <w:numFmt w:val="bullet"/>
      <w:lvlText w:val=""/>
      <w:lvlJc w:val="left"/>
      <w:pPr>
        <w:ind w:left="970" w:hanging="360"/>
      </w:pPr>
      <w:rPr>
        <w:rFonts w:ascii="Symbol" w:hAnsi="Symbol" w:hint="default"/>
      </w:rPr>
    </w:lvl>
    <w:lvl w:ilvl="1" w:tplc="0C090003">
      <w:start w:val="1"/>
      <w:numFmt w:val="bullet"/>
      <w:lvlText w:val="o"/>
      <w:lvlJc w:val="left"/>
      <w:pPr>
        <w:ind w:left="1690" w:hanging="360"/>
      </w:pPr>
      <w:rPr>
        <w:rFonts w:ascii="Courier New" w:hAnsi="Courier New" w:hint="default"/>
      </w:rPr>
    </w:lvl>
    <w:lvl w:ilvl="2" w:tplc="0C090005" w:tentative="1">
      <w:start w:val="1"/>
      <w:numFmt w:val="bullet"/>
      <w:lvlText w:val=""/>
      <w:lvlJc w:val="left"/>
      <w:pPr>
        <w:ind w:left="2410" w:hanging="360"/>
      </w:pPr>
      <w:rPr>
        <w:rFonts w:ascii="Wingdings" w:hAnsi="Wingdings" w:hint="default"/>
      </w:rPr>
    </w:lvl>
    <w:lvl w:ilvl="3" w:tplc="0C090001" w:tentative="1">
      <w:start w:val="1"/>
      <w:numFmt w:val="bullet"/>
      <w:lvlText w:val=""/>
      <w:lvlJc w:val="left"/>
      <w:pPr>
        <w:ind w:left="3130" w:hanging="360"/>
      </w:pPr>
      <w:rPr>
        <w:rFonts w:ascii="Symbol" w:hAnsi="Symbol" w:hint="default"/>
      </w:rPr>
    </w:lvl>
    <w:lvl w:ilvl="4" w:tplc="0C090003" w:tentative="1">
      <w:start w:val="1"/>
      <w:numFmt w:val="bullet"/>
      <w:lvlText w:val="o"/>
      <w:lvlJc w:val="left"/>
      <w:pPr>
        <w:ind w:left="3850" w:hanging="360"/>
      </w:pPr>
      <w:rPr>
        <w:rFonts w:ascii="Courier New" w:hAnsi="Courier New" w:hint="default"/>
      </w:rPr>
    </w:lvl>
    <w:lvl w:ilvl="5" w:tplc="0C090005" w:tentative="1">
      <w:start w:val="1"/>
      <w:numFmt w:val="bullet"/>
      <w:lvlText w:val=""/>
      <w:lvlJc w:val="left"/>
      <w:pPr>
        <w:ind w:left="4570" w:hanging="360"/>
      </w:pPr>
      <w:rPr>
        <w:rFonts w:ascii="Wingdings" w:hAnsi="Wingdings" w:hint="default"/>
      </w:rPr>
    </w:lvl>
    <w:lvl w:ilvl="6" w:tplc="0C090001" w:tentative="1">
      <w:start w:val="1"/>
      <w:numFmt w:val="bullet"/>
      <w:lvlText w:val=""/>
      <w:lvlJc w:val="left"/>
      <w:pPr>
        <w:ind w:left="5290" w:hanging="360"/>
      </w:pPr>
      <w:rPr>
        <w:rFonts w:ascii="Symbol" w:hAnsi="Symbol" w:hint="default"/>
      </w:rPr>
    </w:lvl>
    <w:lvl w:ilvl="7" w:tplc="0C090003" w:tentative="1">
      <w:start w:val="1"/>
      <w:numFmt w:val="bullet"/>
      <w:lvlText w:val="o"/>
      <w:lvlJc w:val="left"/>
      <w:pPr>
        <w:ind w:left="6010" w:hanging="360"/>
      </w:pPr>
      <w:rPr>
        <w:rFonts w:ascii="Courier New" w:hAnsi="Courier New" w:hint="default"/>
      </w:rPr>
    </w:lvl>
    <w:lvl w:ilvl="8" w:tplc="0C090005" w:tentative="1">
      <w:start w:val="1"/>
      <w:numFmt w:val="bullet"/>
      <w:lvlText w:val=""/>
      <w:lvlJc w:val="left"/>
      <w:pPr>
        <w:ind w:left="6730" w:hanging="360"/>
      </w:pPr>
      <w:rPr>
        <w:rFonts w:ascii="Wingdings" w:hAnsi="Wingdings" w:hint="default"/>
      </w:rPr>
    </w:lvl>
  </w:abstractNum>
  <w:abstractNum w:abstractNumId="13" w15:restartNumberingAfterBreak="0">
    <w:nsid w:val="7D6B5224"/>
    <w:multiLevelType w:val="multilevel"/>
    <w:tmpl w:val="58D0B304"/>
    <w:lvl w:ilvl="0">
      <w:start w:val="1"/>
      <w:numFmt w:val="bullet"/>
      <w:pStyle w:val="Bullet"/>
      <w:lvlText w:val="•"/>
      <w:lvlJc w:val="left"/>
      <w:pPr>
        <w:tabs>
          <w:tab w:val="num" w:pos="520"/>
        </w:tabs>
        <w:ind w:left="520" w:hanging="520"/>
      </w:pPr>
      <w:rPr>
        <w:rFonts w:ascii="Times New Roman" w:hAnsi="Times New Roman" w:cs="Times New Roman"/>
        <w:color w:val="auto"/>
      </w:rPr>
    </w:lvl>
    <w:lvl w:ilvl="1">
      <w:start w:val="1"/>
      <w:numFmt w:val="bullet"/>
      <w:lvlText w:val="–"/>
      <w:lvlJc w:val="left"/>
      <w:pPr>
        <w:tabs>
          <w:tab w:val="num" w:pos="1040"/>
        </w:tabs>
        <w:ind w:left="1040" w:hanging="520"/>
      </w:pPr>
      <w:rPr>
        <w:rFonts w:ascii="Times New Roman" w:hAnsi="Times New Roman" w:cs="Times New Roman"/>
      </w:rPr>
    </w:lvl>
    <w:lvl w:ilvl="2">
      <w:start w:val="1"/>
      <w:numFmt w:val="bullet"/>
      <w:lvlText w:val=":"/>
      <w:lvlJc w:val="left"/>
      <w:pPr>
        <w:tabs>
          <w:tab w:val="num" w:pos="1560"/>
        </w:tabs>
        <w:ind w:left="1560" w:hanging="520"/>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16cid:durableId="740254638">
    <w:abstractNumId w:val="1"/>
  </w:num>
  <w:num w:numId="2" w16cid:durableId="277031847">
    <w:abstractNumId w:val="11"/>
  </w:num>
  <w:num w:numId="3" w16cid:durableId="30690134">
    <w:abstractNumId w:val="13"/>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456801242">
    <w:abstractNumId w:val="0"/>
  </w:num>
  <w:num w:numId="5" w16cid:durableId="370417843">
    <w:abstractNumId w:val="4"/>
  </w:num>
  <w:num w:numId="6" w16cid:durableId="1661084142">
    <w:abstractNumId w:val="5"/>
  </w:num>
  <w:num w:numId="7" w16cid:durableId="1364164556">
    <w:abstractNumId w:val="10"/>
  </w:num>
  <w:num w:numId="8" w16cid:durableId="2104648328">
    <w:abstractNumId w:val="12"/>
  </w:num>
  <w:num w:numId="9" w16cid:durableId="1494444661">
    <w:abstractNumId w:val="7"/>
  </w:num>
  <w:num w:numId="10" w16cid:durableId="1583296559">
    <w:abstractNumId w:val="3"/>
  </w:num>
  <w:num w:numId="11" w16cid:durableId="516775405">
    <w:abstractNumId w:val="2"/>
  </w:num>
  <w:num w:numId="12" w16cid:durableId="46696948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36190481">
    <w:abstractNumId w:val="8"/>
  </w:num>
  <w:num w:numId="14" w16cid:durableId="634600939">
    <w:abstractNumId w:val="9"/>
  </w:num>
  <w:num w:numId="15" w16cid:durableId="430587930">
    <w:abstractNumId w:val="6"/>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hideSpellingErrors/>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ecurityClassificationInHeader" w:val="False"/>
  </w:docVars>
  <w:rsids>
    <w:rsidRoot w:val="003A3389"/>
    <w:rsid w:val="00006C77"/>
    <w:rsid w:val="00013AE0"/>
    <w:rsid w:val="000161F9"/>
    <w:rsid w:val="00016670"/>
    <w:rsid w:val="00016B6C"/>
    <w:rsid w:val="0002151A"/>
    <w:rsid w:val="00033942"/>
    <w:rsid w:val="000346A5"/>
    <w:rsid w:val="000421F9"/>
    <w:rsid w:val="00044FB1"/>
    <w:rsid w:val="00045C24"/>
    <w:rsid w:val="00060493"/>
    <w:rsid w:val="00060C76"/>
    <w:rsid w:val="00065C3B"/>
    <w:rsid w:val="00067E65"/>
    <w:rsid w:val="000753CE"/>
    <w:rsid w:val="000849B1"/>
    <w:rsid w:val="000919DA"/>
    <w:rsid w:val="000A4D2D"/>
    <w:rsid w:val="000B18CD"/>
    <w:rsid w:val="000B1EC3"/>
    <w:rsid w:val="000B3C90"/>
    <w:rsid w:val="000B5BF8"/>
    <w:rsid w:val="000C02C9"/>
    <w:rsid w:val="000D33F2"/>
    <w:rsid w:val="000D7D2F"/>
    <w:rsid w:val="000E324C"/>
    <w:rsid w:val="000E6ACC"/>
    <w:rsid w:val="000F2493"/>
    <w:rsid w:val="000F2562"/>
    <w:rsid w:val="000F33C9"/>
    <w:rsid w:val="00102238"/>
    <w:rsid w:val="00105EBE"/>
    <w:rsid w:val="001100C0"/>
    <w:rsid w:val="001123FF"/>
    <w:rsid w:val="001145FD"/>
    <w:rsid w:val="00115B2E"/>
    <w:rsid w:val="0011628E"/>
    <w:rsid w:val="001260FF"/>
    <w:rsid w:val="001363E7"/>
    <w:rsid w:val="001376CC"/>
    <w:rsid w:val="00140697"/>
    <w:rsid w:val="0014178A"/>
    <w:rsid w:val="00144B84"/>
    <w:rsid w:val="00162DFD"/>
    <w:rsid w:val="00166A45"/>
    <w:rsid w:val="00174954"/>
    <w:rsid w:val="00182E9E"/>
    <w:rsid w:val="00183F40"/>
    <w:rsid w:val="00190D7B"/>
    <w:rsid w:val="00192367"/>
    <w:rsid w:val="001929D8"/>
    <w:rsid w:val="00197414"/>
    <w:rsid w:val="001A4348"/>
    <w:rsid w:val="001A5155"/>
    <w:rsid w:val="001A5DCC"/>
    <w:rsid w:val="001B288D"/>
    <w:rsid w:val="001B3A29"/>
    <w:rsid w:val="001B540E"/>
    <w:rsid w:val="001C5117"/>
    <w:rsid w:val="001C78AE"/>
    <w:rsid w:val="001D45A4"/>
    <w:rsid w:val="001E5623"/>
    <w:rsid w:val="001E6DC2"/>
    <w:rsid w:val="001E7840"/>
    <w:rsid w:val="001E7CF5"/>
    <w:rsid w:val="001F50DA"/>
    <w:rsid w:val="00203245"/>
    <w:rsid w:val="00205F44"/>
    <w:rsid w:val="002105F8"/>
    <w:rsid w:val="00215EE7"/>
    <w:rsid w:val="00223D87"/>
    <w:rsid w:val="002268AB"/>
    <w:rsid w:val="00226F00"/>
    <w:rsid w:val="0022749C"/>
    <w:rsid w:val="00227C77"/>
    <w:rsid w:val="00233887"/>
    <w:rsid w:val="00233A88"/>
    <w:rsid w:val="00241B9A"/>
    <w:rsid w:val="0024226F"/>
    <w:rsid w:val="00245342"/>
    <w:rsid w:val="00245E1D"/>
    <w:rsid w:val="002462BD"/>
    <w:rsid w:val="00260712"/>
    <w:rsid w:val="00263339"/>
    <w:rsid w:val="002809F6"/>
    <w:rsid w:val="00283303"/>
    <w:rsid w:val="00287F32"/>
    <w:rsid w:val="0029134D"/>
    <w:rsid w:val="002978C8"/>
    <w:rsid w:val="002A0B32"/>
    <w:rsid w:val="002A4B83"/>
    <w:rsid w:val="002A6430"/>
    <w:rsid w:val="002A79C5"/>
    <w:rsid w:val="002B6757"/>
    <w:rsid w:val="002C26D9"/>
    <w:rsid w:val="002D49D1"/>
    <w:rsid w:val="002F417B"/>
    <w:rsid w:val="002F6ADC"/>
    <w:rsid w:val="00300C95"/>
    <w:rsid w:val="003054A8"/>
    <w:rsid w:val="00306770"/>
    <w:rsid w:val="00307DA3"/>
    <w:rsid w:val="00327D31"/>
    <w:rsid w:val="003305CA"/>
    <w:rsid w:val="0034064A"/>
    <w:rsid w:val="0034564D"/>
    <w:rsid w:val="00352BB2"/>
    <w:rsid w:val="00353390"/>
    <w:rsid w:val="00357842"/>
    <w:rsid w:val="003715C7"/>
    <w:rsid w:val="00372AC1"/>
    <w:rsid w:val="003802F4"/>
    <w:rsid w:val="003831AB"/>
    <w:rsid w:val="00390C06"/>
    <w:rsid w:val="003A3389"/>
    <w:rsid w:val="003A63D1"/>
    <w:rsid w:val="003C047D"/>
    <w:rsid w:val="003C17E4"/>
    <w:rsid w:val="003C4F86"/>
    <w:rsid w:val="003C789B"/>
    <w:rsid w:val="003E26C5"/>
    <w:rsid w:val="003E58A5"/>
    <w:rsid w:val="003F2E2F"/>
    <w:rsid w:val="003F424B"/>
    <w:rsid w:val="003F53AE"/>
    <w:rsid w:val="003F6C1D"/>
    <w:rsid w:val="00425E05"/>
    <w:rsid w:val="00442C7E"/>
    <w:rsid w:val="00450CCE"/>
    <w:rsid w:val="004533FC"/>
    <w:rsid w:val="004542B7"/>
    <w:rsid w:val="004546DC"/>
    <w:rsid w:val="00463D4E"/>
    <w:rsid w:val="00470BA0"/>
    <w:rsid w:val="0047507F"/>
    <w:rsid w:val="00477439"/>
    <w:rsid w:val="00485A3D"/>
    <w:rsid w:val="00486B7C"/>
    <w:rsid w:val="00490C62"/>
    <w:rsid w:val="00496135"/>
    <w:rsid w:val="0049673E"/>
    <w:rsid w:val="00496C34"/>
    <w:rsid w:val="004A2AFD"/>
    <w:rsid w:val="004A37EA"/>
    <w:rsid w:val="004A4424"/>
    <w:rsid w:val="004B08DC"/>
    <w:rsid w:val="004B1F82"/>
    <w:rsid w:val="004B56B0"/>
    <w:rsid w:val="004C5917"/>
    <w:rsid w:val="004C5E48"/>
    <w:rsid w:val="004D0778"/>
    <w:rsid w:val="004D75F6"/>
    <w:rsid w:val="004E196A"/>
    <w:rsid w:val="004E424B"/>
    <w:rsid w:val="004E71FE"/>
    <w:rsid w:val="004F24D0"/>
    <w:rsid w:val="005010BA"/>
    <w:rsid w:val="00502E10"/>
    <w:rsid w:val="00505009"/>
    <w:rsid w:val="00506BF4"/>
    <w:rsid w:val="00507097"/>
    <w:rsid w:val="0051600D"/>
    <w:rsid w:val="00516FB2"/>
    <w:rsid w:val="00524DCE"/>
    <w:rsid w:val="00525050"/>
    <w:rsid w:val="0053110F"/>
    <w:rsid w:val="00533FEF"/>
    <w:rsid w:val="00535C81"/>
    <w:rsid w:val="00546D8E"/>
    <w:rsid w:val="00546FDD"/>
    <w:rsid w:val="00551340"/>
    <w:rsid w:val="005606FD"/>
    <w:rsid w:val="00565A52"/>
    <w:rsid w:val="00566AD8"/>
    <w:rsid w:val="00570B86"/>
    <w:rsid w:val="00570DF5"/>
    <w:rsid w:val="005720EA"/>
    <w:rsid w:val="005732EB"/>
    <w:rsid w:val="005803BF"/>
    <w:rsid w:val="00582FAD"/>
    <w:rsid w:val="00585F7E"/>
    <w:rsid w:val="00594ABF"/>
    <w:rsid w:val="005A11E6"/>
    <w:rsid w:val="005A2484"/>
    <w:rsid w:val="005A6A61"/>
    <w:rsid w:val="005B0968"/>
    <w:rsid w:val="005B207E"/>
    <w:rsid w:val="005B2484"/>
    <w:rsid w:val="005B3871"/>
    <w:rsid w:val="005B659D"/>
    <w:rsid w:val="005B6B98"/>
    <w:rsid w:val="005C1326"/>
    <w:rsid w:val="005C3527"/>
    <w:rsid w:val="005C4B02"/>
    <w:rsid w:val="005E62D6"/>
    <w:rsid w:val="005F0FBF"/>
    <w:rsid w:val="005F3572"/>
    <w:rsid w:val="006014A0"/>
    <w:rsid w:val="00614971"/>
    <w:rsid w:val="00627218"/>
    <w:rsid w:val="006355D1"/>
    <w:rsid w:val="00635DD4"/>
    <w:rsid w:val="00637692"/>
    <w:rsid w:val="0064704A"/>
    <w:rsid w:val="006916AD"/>
    <w:rsid w:val="00694B4F"/>
    <w:rsid w:val="006A118D"/>
    <w:rsid w:val="006A3972"/>
    <w:rsid w:val="006A712D"/>
    <w:rsid w:val="006C7ABB"/>
    <w:rsid w:val="006D27A6"/>
    <w:rsid w:val="006D3EE7"/>
    <w:rsid w:val="006D6960"/>
    <w:rsid w:val="006E101D"/>
    <w:rsid w:val="006E6F8C"/>
    <w:rsid w:val="006E76BE"/>
    <w:rsid w:val="006F0918"/>
    <w:rsid w:val="006F56A2"/>
    <w:rsid w:val="006F6E04"/>
    <w:rsid w:val="00705AD6"/>
    <w:rsid w:val="00717216"/>
    <w:rsid w:val="00722F56"/>
    <w:rsid w:val="007343B8"/>
    <w:rsid w:val="00736715"/>
    <w:rsid w:val="007600FA"/>
    <w:rsid w:val="0076093D"/>
    <w:rsid w:val="00761DA0"/>
    <w:rsid w:val="007622D7"/>
    <w:rsid w:val="007825F2"/>
    <w:rsid w:val="00784A3C"/>
    <w:rsid w:val="00793BD7"/>
    <w:rsid w:val="0079466D"/>
    <w:rsid w:val="007A4195"/>
    <w:rsid w:val="007A6E4D"/>
    <w:rsid w:val="007B6953"/>
    <w:rsid w:val="007B7784"/>
    <w:rsid w:val="007C1094"/>
    <w:rsid w:val="007C3CD0"/>
    <w:rsid w:val="007D4EB7"/>
    <w:rsid w:val="007D6F47"/>
    <w:rsid w:val="007E013D"/>
    <w:rsid w:val="007E0975"/>
    <w:rsid w:val="007E36E4"/>
    <w:rsid w:val="007E5E07"/>
    <w:rsid w:val="007E7046"/>
    <w:rsid w:val="007F53C0"/>
    <w:rsid w:val="007F61E3"/>
    <w:rsid w:val="00812D06"/>
    <w:rsid w:val="008139FB"/>
    <w:rsid w:val="00831D8A"/>
    <w:rsid w:val="00835A33"/>
    <w:rsid w:val="00844032"/>
    <w:rsid w:val="00847719"/>
    <w:rsid w:val="008616B9"/>
    <w:rsid w:val="00865786"/>
    <w:rsid w:val="00875CB6"/>
    <w:rsid w:val="0088159C"/>
    <w:rsid w:val="0088211A"/>
    <w:rsid w:val="00884F56"/>
    <w:rsid w:val="008854F6"/>
    <w:rsid w:val="00886667"/>
    <w:rsid w:val="00886BC4"/>
    <w:rsid w:val="008972E4"/>
    <w:rsid w:val="008A02F3"/>
    <w:rsid w:val="008A1C1D"/>
    <w:rsid w:val="008A48CA"/>
    <w:rsid w:val="008B2938"/>
    <w:rsid w:val="008B395C"/>
    <w:rsid w:val="008B4F60"/>
    <w:rsid w:val="008C5773"/>
    <w:rsid w:val="008D0CA6"/>
    <w:rsid w:val="008D4CD0"/>
    <w:rsid w:val="008D5358"/>
    <w:rsid w:val="008D59B7"/>
    <w:rsid w:val="008E0180"/>
    <w:rsid w:val="008E04BD"/>
    <w:rsid w:val="008E0FAB"/>
    <w:rsid w:val="008E1FA8"/>
    <w:rsid w:val="008E35A5"/>
    <w:rsid w:val="008F0B15"/>
    <w:rsid w:val="008F1AA6"/>
    <w:rsid w:val="008F2068"/>
    <w:rsid w:val="008F2212"/>
    <w:rsid w:val="008F73C8"/>
    <w:rsid w:val="008F7635"/>
    <w:rsid w:val="008F7E69"/>
    <w:rsid w:val="00903786"/>
    <w:rsid w:val="00903AB2"/>
    <w:rsid w:val="00904C61"/>
    <w:rsid w:val="00905F29"/>
    <w:rsid w:val="0090719E"/>
    <w:rsid w:val="009109AA"/>
    <w:rsid w:val="00915431"/>
    <w:rsid w:val="00916DFC"/>
    <w:rsid w:val="00926879"/>
    <w:rsid w:val="00933C8C"/>
    <w:rsid w:val="009367F6"/>
    <w:rsid w:val="0093741D"/>
    <w:rsid w:val="00942CB3"/>
    <w:rsid w:val="00944174"/>
    <w:rsid w:val="00951652"/>
    <w:rsid w:val="00952F2F"/>
    <w:rsid w:val="00965C4B"/>
    <w:rsid w:val="009757BB"/>
    <w:rsid w:val="0098151F"/>
    <w:rsid w:val="00986A46"/>
    <w:rsid w:val="009906A6"/>
    <w:rsid w:val="00992ADC"/>
    <w:rsid w:val="009A6D32"/>
    <w:rsid w:val="009A71C4"/>
    <w:rsid w:val="009B15EC"/>
    <w:rsid w:val="009B1781"/>
    <w:rsid w:val="009B2546"/>
    <w:rsid w:val="009B464D"/>
    <w:rsid w:val="009C1F90"/>
    <w:rsid w:val="009C66A3"/>
    <w:rsid w:val="009D616A"/>
    <w:rsid w:val="009E6061"/>
    <w:rsid w:val="00A01086"/>
    <w:rsid w:val="00A05E57"/>
    <w:rsid w:val="00A1120D"/>
    <w:rsid w:val="00A13CB3"/>
    <w:rsid w:val="00A13F0D"/>
    <w:rsid w:val="00A15DB7"/>
    <w:rsid w:val="00A17503"/>
    <w:rsid w:val="00A215B3"/>
    <w:rsid w:val="00A24D20"/>
    <w:rsid w:val="00A32C4E"/>
    <w:rsid w:val="00A3452B"/>
    <w:rsid w:val="00A46A9A"/>
    <w:rsid w:val="00A50111"/>
    <w:rsid w:val="00A52C22"/>
    <w:rsid w:val="00A60022"/>
    <w:rsid w:val="00A60994"/>
    <w:rsid w:val="00A6514E"/>
    <w:rsid w:val="00A739CE"/>
    <w:rsid w:val="00A8449C"/>
    <w:rsid w:val="00A84C3C"/>
    <w:rsid w:val="00A87F4B"/>
    <w:rsid w:val="00A909A3"/>
    <w:rsid w:val="00A91BD2"/>
    <w:rsid w:val="00A940BE"/>
    <w:rsid w:val="00A96316"/>
    <w:rsid w:val="00A9658A"/>
    <w:rsid w:val="00A970ED"/>
    <w:rsid w:val="00AA553F"/>
    <w:rsid w:val="00AA5E3A"/>
    <w:rsid w:val="00AB3D33"/>
    <w:rsid w:val="00AC1B27"/>
    <w:rsid w:val="00AC4C62"/>
    <w:rsid w:val="00AC60D4"/>
    <w:rsid w:val="00AE39EE"/>
    <w:rsid w:val="00AE53E5"/>
    <w:rsid w:val="00AE6F14"/>
    <w:rsid w:val="00B129C3"/>
    <w:rsid w:val="00B15B56"/>
    <w:rsid w:val="00B21F34"/>
    <w:rsid w:val="00B24C1C"/>
    <w:rsid w:val="00B32830"/>
    <w:rsid w:val="00B42FAF"/>
    <w:rsid w:val="00B50FEA"/>
    <w:rsid w:val="00B51175"/>
    <w:rsid w:val="00B5397C"/>
    <w:rsid w:val="00B54FA9"/>
    <w:rsid w:val="00B57B0B"/>
    <w:rsid w:val="00B64308"/>
    <w:rsid w:val="00B71F74"/>
    <w:rsid w:val="00B73C23"/>
    <w:rsid w:val="00B76021"/>
    <w:rsid w:val="00B771FF"/>
    <w:rsid w:val="00B82C45"/>
    <w:rsid w:val="00BA054F"/>
    <w:rsid w:val="00BA123B"/>
    <w:rsid w:val="00BA3721"/>
    <w:rsid w:val="00BA7802"/>
    <w:rsid w:val="00BB059B"/>
    <w:rsid w:val="00BB4B21"/>
    <w:rsid w:val="00BC0BB5"/>
    <w:rsid w:val="00BD3C26"/>
    <w:rsid w:val="00BD7EA0"/>
    <w:rsid w:val="00BE049C"/>
    <w:rsid w:val="00BE2210"/>
    <w:rsid w:val="00BE5AC7"/>
    <w:rsid w:val="00BF3E58"/>
    <w:rsid w:val="00BF4A8E"/>
    <w:rsid w:val="00BF73E4"/>
    <w:rsid w:val="00BF75D8"/>
    <w:rsid w:val="00C0628D"/>
    <w:rsid w:val="00C23C8C"/>
    <w:rsid w:val="00C3042D"/>
    <w:rsid w:val="00C362B7"/>
    <w:rsid w:val="00C3693F"/>
    <w:rsid w:val="00C37A6A"/>
    <w:rsid w:val="00C436B8"/>
    <w:rsid w:val="00C443D7"/>
    <w:rsid w:val="00C46C2E"/>
    <w:rsid w:val="00C551DB"/>
    <w:rsid w:val="00C620FD"/>
    <w:rsid w:val="00C639E4"/>
    <w:rsid w:val="00C71CED"/>
    <w:rsid w:val="00C778C6"/>
    <w:rsid w:val="00C80C62"/>
    <w:rsid w:val="00C82A8A"/>
    <w:rsid w:val="00C8634C"/>
    <w:rsid w:val="00CA168B"/>
    <w:rsid w:val="00CA4694"/>
    <w:rsid w:val="00CB032B"/>
    <w:rsid w:val="00CB0554"/>
    <w:rsid w:val="00CB0F7D"/>
    <w:rsid w:val="00CC1136"/>
    <w:rsid w:val="00CC5274"/>
    <w:rsid w:val="00CC5606"/>
    <w:rsid w:val="00CD02A5"/>
    <w:rsid w:val="00CD75B9"/>
    <w:rsid w:val="00CD7F0B"/>
    <w:rsid w:val="00CF1EA3"/>
    <w:rsid w:val="00CF2931"/>
    <w:rsid w:val="00CF5A2D"/>
    <w:rsid w:val="00D044DC"/>
    <w:rsid w:val="00D05A02"/>
    <w:rsid w:val="00D0725D"/>
    <w:rsid w:val="00D11F38"/>
    <w:rsid w:val="00D11F49"/>
    <w:rsid w:val="00D17467"/>
    <w:rsid w:val="00D2150F"/>
    <w:rsid w:val="00D215DF"/>
    <w:rsid w:val="00D33E3B"/>
    <w:rsid w:val="00D40B85"/>
    <w:rsid w:val="00D535AC"/>
    <w:rsid w:val="00D555C7"/>
    <w:rsid w:val="00D566F4"/>
    <w:rsid w:val="00D60855"/>
    <w:rsid w:val="00D621F5"/>
    <w:rsid w:val="00D726A2"/>
    <w:rsid w:val="00D81F86"/>
    <w:rsid w:val="00DA137E"/>
    <w:rsid w:val="00DA2658"/>
    <w:rsid w:val="00DB27DF"/>
    <w:rsid w:val="00DC075C"/>
    <w:rsid w:val="00DC6FBB"/>
    <w:rsid w:val="00DD3940"/>
    <w:rsid w:val="00DD5D38"/>
    <w:rsid w:val="00DE05FE"/>
    <w:rsid w:val="00DE5EE8"/>
    <w:rsid w:val="00DE74EC"/>
    <w:rsid w:val="00DF0B01"/>
    <w:rsid w:val="00DF0E0B"/>
    <w:rsid w:val="00DF56B6"/>
    <w:rsid w:val="00DF5A46"/>
    <w:rsid w:val="00E10B5B"/>
    <w:rsid w:val="00E11105"/>
    <w:rsid w:val="00E16939"/>
    <w:rsid w:val="00E1766A"/>
    <w:rsid w:val="00E22157"/>
    <w:rsid w:val="00E267E6"/>
    <w:rsid w:val="00E34501"/>
    <w:rsid w:val="00E35B8F"/>
    <w:rsid w:val="00E35BC6"/>
    <w:rsid w:val="00E40078"/>
    <w:rsid w:val="00E4461B"/>
    <w:rsid w:val="00E4520C"/>
    <w:rsid w:val="00E62B01"/>
    <w:rsid w:val="00E64B67"/>
    <w:rsid w:val="00E669CD"/>
    <w:rsid w:val="00E70A2C"/>
    <w:rsid w:val="00E81A92"/>
    <w:rsid w:val="00E83A1D"/>
    <w:rsid w:val="00E847A7"/>
    <w:rsid w:val="00E85FF2"/>
    <w:rsid w:val="00E86CBA"/>
    <w:rsid w:val="00E90E39"/>
    <w:rsid w:val="00E93C25"/>
    <w:rsid w:val="00EA5D8D"/>
    <w:rsid w:val="00EA67DA"/>
    <w:rsid w:val="00EB1557"/>
    <w:rsid w:val="00EC2A56"/>
    <w:rsid w:val="00ED3522"/>
    <w:rsid w:val="00EE570F"/>
    <w:rsid w:val="00EE5F89"/>
    <w:rsid w:val="00EF1B2D"/>
    <w:rsid w:val="00F0196A"/>
    <w:rsid w:val="00F07B2D"/>
    <w:rsid w:val="00F172EE"/>
    <w:rsid w:val="00F22FC2"/>
    <w:rsid w:val="00F248B6"/>
    <w:rsid w:val="00F303A6"/>
    <w:rsid w:val="00F31637"/>
    <w:rsid w:val="00F33B9F"/>
    <w:rsid w:val="00F373D5"/>
    <w:rsid w:val="00F41932"/>
    <w:rsid w:val="00F44C22"/>
    <w:rsid w:val="00F4789A"/>
    <w:rsid w:val="00F51C00"/>
    <w:rsid w:val="00F51FDE"/>
    <w:rsid w:val="00F57632"/>
    <w:rsid w:val="00F61364"/>
    <w:rsid w:val="00F614C4"/>
    <w:rsid w:val="00F61E2F"/>
    <w:rsid w:val="00F7256C"/>
    <w:rsid w:val="00F75A59"/>
    <w:rsid w:val="00F7650A"/>
    <w:rsid w:val="00F95DDF"/>
    <w:rsid w:val="00F96108"/>
    <w:rsid w:val="00F97D4A"/>
    <w:rsid w:val="00FA70A7"/>
    <w:rsid w:val="00FA7AFD"/>
    <w:rsid w:val="00FB5337"/>
    <w:rsid w:val="00FB7AEB"/>
    <w:rsid w:val="00FC2874"/>
    <w:rsid w:val="00FC2E34"/>
    <w:rsid w:val="00FD06DF"/>
    <w:rsid w:val="00FD0B4D"/>
    <w:rsid w:val="00FE316C"/>
    <w:rsid w:val="00FF4459"/>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4125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lang w:val="en-A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14A0"/>
    <w:pPr>
      <w:spacing w:before="120" w:after="120"/>
    </w:pPr>
    <w:rPr>
      <w:rFonts w:ascii="Calibri Light" w:eastAsia="Times New Roman" w:hAnsi="Calibri Light"/>
      <w:sz w:val="22"/>
      <w:lang w:eastAsia="en-AU"/>
    </w:rPr>
  </w:style>
  <w:style w:type="paragraph" w:styleId="Heading1">
    <w:name w:val="heading 1"/>
    <w:basedOn w:val="Normal"/>
    <w:next w:val="Normal"/>
    <w:link w:val="Heading1Char"/>
    <w:uiPriority w:val="9"/>
    <w:qFormat/>
    <w:rsid w:val="00AE53E5"/>
    <w:pPr>
      <w:keepNext/>
      <w:spacing w:before="600" w:line="460" w:lineRule="exact"/>
      <w:outlineLvl w:val="0"/>
    </w:pPr>
    <w:rPr>
      <w:rFonts w:ascii="Calibri" w:hAnsi="Calibri" w:cs="Arial"/>
      <w:b/>
      <w:color w:val="5D779D" w:themeColor="accent3"/>
      <w:kern w:val="32"/>
      <w:sz w:val="44"/>
      <w:szCs w:val="36"/>
    </w:rPr>
  </w:style>
  <w:style w:type="paragraph" w:styleId="Heading2">
    <w:name w:val="heading 2"/>
    <w:basedOn w:val="Normal"/>
    <w:next w:val="Normal"/>
    <w:link w:val="Heading2Char"/>
    <w:uiPriority w:val="9"/>
    <w:qFormat/>
    <w:rsid w:val="00AE53E5"/>
    <w:pPr>
      <w:keepNext/>
      <w:spacing w:before="360" w:line="460" w:lineRule="exact"/>
      <w:outlineLvl w:val="1"/>
    </w:pPr>
    <w:rPr>
      <w:rFonts w:ascii="Calibri" w:hAnsi="Calibri" w:cs="Arial"/>
      <w:iCs/>
      <w:color w:val="2C384A"/>
      <w:kern w:val="32"/>
      <w:sz w:val="36"/>
      <w:szCs w:val="28"/>
    </w:rPr>
  </w:style>
  <w:style w:type="paragraph" w:styleId="Heading3">
    <w:name w:val="heading 3"/>
    <w:basedOn w:val="Normal"/>
    <w:next w:val="Normal"/>
    <w:link w:val="Heading3Char"/>
    <w:uiPriority w:val="9"/>
    <w:qFormat/>
    <w:rsid w:val="00AE53E5"/>
    <w:pPr>
      <w:keepNext/>
      <w:spacing w:before="320" w:after="0" w:line="276" w:lineRule="auto"/>
      <w:outlineLvl w:val="2"/>
    </w:pPr>
    <w:rPr>
      <w:rFonts w:ascii="Calibri" w:hAnsi="Calibri" w:cs="Arial"/>
      <w:b/>
      <w:color w:val="4D7861" w:themeColor="accent2"/>
      <w:kern w:val="32"/>
      <w:sz w:val="28"/>
      <w:szCs w:val="26"/>
    </w:rPr>
  </w:style>
  <w:style w:type="paragraph" w:styleId="Heading4">
    <w:name w:val="heading 4"/>
    <w:basedOn w:val="Normal"/>
    <w:next w:val="Normal"/>
    <w:link w:val="Heading4Char"/>
    <w:uiPriority w:val="9"/>
    <w:qFormat/>
    <w:rsid w:val="00AE53E5"/>
    <w:pPr>
      <w:keepNext/>
      <w:spacing w:before="280" w:after="0" w:line="276" w:lineRule="auto"/>
      <w:outlineLvl w:val="3"/>
    </w:pPr>
    <w:rPr>
      <w:rFonts w:cs="Arial"/>
      <w:color w:val="4D7861" w:themeColor="accent2"/>
      <w:kern w:val="32"/>
      <w:szCs w:val="26"/>
    </w:rPr>
  </w:style>
  <w:style w:type="paragraph" w:styleId="Heading5">
    <w:name w:val="heading 5"/>
    <w:basedOn w:val="Normal"/>
    <w:next w:val="Normal"/>
    <w:link w:val="Heading5Char"/>
    <w:uiPriority w:val="9"/>
    <w:qFormat/>
    <w:rsid w:val="00AE53E5"/>
    <w:pPr>
      <w:keepNext/>
      <w:spacing w:before="240" w:after="0" w:line="276" w:lineRule="auto"/>
      <w:outlineLvl w:val="4"/>
    </w:pPr>
    <w:rPr>
      <w:rFonts w:asciiTheme="majorHAnsi" w:hAnsiTheme="majorHAnsi" w:cs="Arial"/>
      <w:b/>
      <w:iCs/>
      <w:color w:val="000000" w:themeColor="text1"/>
      <w:kern w:val="32"/>
      <w:szCs w:val="36"/>
    </w:rPr>
  </w:style>
  <w:style w:type="paragraph" w:styleId="Heading6">
    <w:name w:val="heading 6"/>
    <w:basedOn w:val="Normal"/>
    <w:next w:val="Normal"/>
    <w:link w:val="Heading6Char"/>
    <w:uiPriority w:val="9"/>
    <w:qFormat/>
    <w:rsid w:val="00AE53E5"/>
    <w:pPr>
      <w:keepNext/>
      <w:spacing w:after="0" w:line="276" w:lineRule="auto"/>
      <w:outlineLvl w:val="5"/>
    </w:pPr>
    <w:rPr>
      <w:rFonts w:cs="Arial"/>
      <w:color w:val="000000" w:themeColor="text1"/>
      <w:kern w:val="32"/>
      <w:szCs w:val="22"/>
    </w:rPr>
  </w:style>
  <w:style w:type="paragraph" w:styleId="Heading7">
    <w:name w:val="heading 7"/>
    <w:basedOn w:val="Normal"/>
    <w:next w:val="Normal"/>
    <w:link w:val="Heading7Char"/>
    <w:uiPriority w:val="9"/>
    <w:unhideWhenUsed/>
    <w:qFormat/>
    <w:rsid w:val="00C23C8C"/>
    <w:pPr>
      <w:keepNext/>
      <w:keepLines/>
      <w:spacing w:before="40"/>
      <w:outlineLvl w:val="6"/>
    </w:pPr>
    <w:rPr>
      <w:rFonts w:asciiTheme="majorHAnsi" w:eastAsiaTheme="majorEastAsia" w:hAnsiTheme="majorHAnsi" w:cstheme="majorBidi"/>
      <w:iCs/>
      <w:color w:val="161B24" w:themeColor="accent1" w:themeShade="7F"/>
    </w:rPr>
  </w:style>
  <w:style w:type="paragraph" w:styleId="Heading8">
    <w:name w:val="heading 8"/>
    <w:basedOn w:val="Normal"/>
    <w:next w:val="Normal"/>
    <w:link w:val="Heading8Char"/>
    <w:uiPriority w:val="9"/>
    <w:unhideWhenUsed/>
    <w:rsid w:val="00C23C8C"/>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unhideWhenUsed/>
    <w:rsid w:val="00C23C8C"/>
    <w:pPr>
      <w:keepNext/>
      <w:keepLines/>
      <w:spacing w:before="40"/>
      <w:outlineLvl w:val="8"/>
    </w:pPr>
    <w:rPr>
      <w:rFonts w:asciiTheme="majorHAnsi" w:eastAsiaTheme="majorEastAsia" w:hAnsiTheme="majorHAnsi" w:cstheme="majorBid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F0B15"/>
    <w:pPr>
      <w:tabs>
        <w:tab w:val="center" w:pos="4320"/>
        <w:tab w:val="right" w:pos="8640"/>
      </w:tabs>
    </w:pPr>
  </w:style>
  <w:style w:type="character" w:customStyle="1" w:styleId="HeaderChar">
    <w:name w:val="Header Char"/>
    <w:basedOn w:val="DefaultParagraphFont"/>
    <w:link w:val="Header"/>
    <w:uiPriority w:val="99"/>
    <w:rsid w:val="007F53C0"/>
    <w:rPr>
      <w:rFonts w:ascii="Times New Roman" w:eastAsia="Times New Roman" w:hAnsi="Times New Roman"/>
      <w:sz w:val="24"/>
      <w:szCs w:val="24"/>
    </w:rPr>
  </w:style>
  <w:style w:type="paragraph" w:styleId="Footer">
    <w:name w:val="footer"/>
    <w:basedOn w:val="Normal"/>
    <w:link w:val="FooterChar"/>
    <w:uiPriority w:val="99"/>
    <w:rsid w:val="00BA123B"/>
    <w:pPr>
      <w:tabs>
        <w:tab w:val="center" w:pos="4320"/>
        <w:tab w:val="right" w:pos="8640"/>
      </w:tabs>
    </w:pPr>
    <w:rPr>
      <w:sz w:val="20"/>
    </w:rPr>
  </w:style>
  <w:style w:type="character" w:customStyle="1" w:styleId="FooterChar">
    <w:name w:val="Footer Char"/>
    <w:basedOn w:val="DefaultParagraphFont"/>
    <w:link w:val="Footer"/>
    <w:uiPriority w:val="99"/>
    <w:rsid w:val="00BA123B"/>
    <w:rPr>
      <w:rFonts w:ascii="Calibri Light" w:eastAsia="Times New Roman" w:hAnsi="Calibri Light"/>
      <w:lang w:eastAsia="en-AU"/>
    </w:rPr>
  </w:style>
  <w:style w:type="paragraph" w:customStyle="1" w:styleId="Factsheettitle">
    <w:name w:val="Fact sheet title"/>
    <w:basedOn w:val="Normal"/>
    <w:qFormat/>
    <w:rsid w:val="0088159C"/>
    <w:pPr>
      <w:spacing w:after="600"/>
    </w:pPr>
    <w:rPr>
      <w:rFonts w:ascii="Calibri" w:hAnsi="Calibri"/>
      <w:color w:val="2C384A" w:themeColor="accent1"/>
      <w:spacing w:val="-14"/>
      <w:sz w:val="68"/>
      <w:szCs w:val="68"/>
    </w:rPr>
  </w:style>
  <w:style w:type="character" w:customStyle="1" w:styleId="Heading1Char">
    <w:name w:val="Heading 1 Char"/>
    <w:basedOn w:val="DefaultParagraphFont"/>
    <w:link w:val="Heading1"/>
    <w:uiPriority w:val="9"/>
    <w:rsid w:val="00AE53E5"/>
    <w:rPr>
      <w:rFonts w:eastAsia="Times New Roman" w:cs="Arial"/>
      <w:b/>
      <w:color w:val="5D779D" w:themeColor="accent3"/>
      <w:kern w:val="32"/>
      <w:sz w:val="44"/>
      <w:szCs w:val="36"/>
      <w:lang w:eastAsia="en-AU"/>
    </w:rPr>
  </w:style>
  <w:style w:type="paragraph" w:customStyle="1" w:styleId="Dash">
    <w:name w:val="Dash"/>
    <w:basedOn w:val="Normal"/>
    <w:link w:val="DashChar"/>
    <w:qFormat/>
    <w:rsid w:val="00BA123B"/>
    <w:pPr>
      <w:numPr>
        <w:ilvl w:val="1"/>
        <w:numId w:val="5"/>
      </w:numPr>
      <w:tabs>
        <w:tab w:val="clear" w:pos="567"/>
      </w:tabs>
      <w:spacing w:before="0"/>
      <w:ind w:left="397" w:hanging="170"/>
    </w:pPr>
  </w:style>
  <w:style w:type="character" w:customStyle="1" w:styleId="DashChar">
    <w:name w:val="Dash Char"/>
    <w:basedOn w:val="DefaultParagraphFont"/>
    <w:link w:val="Dash"/>
    <w:rsid w:val="00BA123B"/>
    <w:rPr>
      <w:rFonts w:ascii="Calibri Light" w:eastAsia="Times New Roman" w:hAnsi="Calibri Light"/>
      <w:sz w:val="22"/>
      <w:lang w:eastAsia="en-AU"/>
    </w:rPr>
  </w:style>
  <w:style w:type="paragraph" w:customStyle="1" w:styleId="DoubleDot">
    <w:name w:val="Double Dot"/>
    <w:basedOn w:val="Normal"/>
    <w:link w:val="DoubleDotChar"/>
    <w:qFormat/>
    <w:rsid w:val="00BA123B"/>
    <w:pPr>
      <w:numPr>
        <w:ilvl w:val="2"/>
        <w:numId w:val="5"/>
      </w:numPr>
      <w:tabs>
        <w:tab w:val="clear" w:pos="850"/>
      </w:tabs>
      <w:spacing w:before="0"/>
      <w:ind w:left="567" w:hanging="170"/>
    </w:pPr>
  </w:style>
  <w:style w:type="character" w:customStyle="1" w:styleId="DoubleDotChar">
    <w:name w:val="Double Dot Char"/>
    <w:basedOn w:val="DefaultParagraphFont"/>
    <w:link w:val="DoubleDot"/>
    <w:rsid w:val="00BA123B"/>
    <w:rPr>
      <w:rFonts w:ascii="Calibri Light" w:eastAsia="Times New Roman" w:hAnsi="Calibri Light"/>
      <w:sz w:val="22"/>
      <w:lang w:eastAsia="en-AU"/>
    </w:rPr>
  </w:style>
  <w:style w:type="paragraph" w:styleId="BalloonText">
    <w:name w:val="Balloon Text"/>
    <w:basedOn w:val="Normal"/>
    <w:link w:val="BalloonTextChar"/>
    <w:uiPriority w:val="99"/>
    <w:semiHidden/>
    <w:rsid w:val="008F0B15"/>
    <w:rPr>
      <w:rFonts w:ascii="Tahoma" w:hAnsi="Tahoma" w:cs="Tahoma"/>
      <w:sz w:val="16"/>
      <w:szCs w:val="16"/>
    </w:rPr>
  </w:style>
  <w:style w:type="character" w:customStyle="1" w:styleId="BalloonTextChar">
    <w:name w:val="Balloon Text Char"/>
    <w:basedOn w:val="DefaultParagraphFont"/>
    <w:link w:val="BalloonText"/>
    <w:uiPriority w:val="99"/>
    <w:semiHidden/>
    <w:rsid w:val="00627218"/>
    <w:rPr>
      <w:rFonts w:ascii="Tahoma" w:eastAsia="Times New Roman" w:hAnsi="Tahoma" w:cs="Tahoma"/>
      <w:sz w:val="16"/>
      <w:szCs w:val="16"/>
    </w:rPr>
  </w:style>
  <w:style w:type="character" w:customStyle="1" w:styleId="Heading2Char">
    <w:name w:val="Heading 2 Char"/>
    <w:basedOn w:val="DefaultParagraphFont"/>
    <w:link w:val="Heading2"/>
    <w:uiPriority w:val="9"/>
    <w:rsid w:val="00AE53E5"/>
    <w:rPr>
      <w:rFonts w:eastAsia="Times New Roman" w:cs="Arial"/>
      <w:iCs/>
      <w:color w:val="2C384A"/>
      <w:kern w:val="32"/>
      <w:sz w:val="36"/>
      <w:szCs w:val="28"/>
      <w:lang w:eastAsia="en-AU"/>
    </w:rPr>
  </w:style>
  <w:style w:type="character" w:customStyle="1" w:styleId="Heading3Char">
    <w:name w:val="Heading 3 Char"/>
    <w:basedOn w:val="DefaultParagraphFont"/>
    <w:link w:val="Heading3"/>
    <w:uiPriority w:val="9"/>
    <w:rsid w:val="00AE53E5"/>
    <w:rPr>
      <w:rFonts w:eastAsia="Times New Roman" w:cs="Arial"/>
      <w:b/>
      <w:color w:val="4D7861" w:themeColor="accent2"/>
      <w:kern w:val="32"/>
      <w:sz w:val="28"/>
      <w:szCs w:val="26"/>
      <w:lang w:eastAsia="en-AU"/>
    </w:rPr>
  </w:style>
  <w:style w:type="character" w:customStyle="1" w:styleId="Heading4Char">
    <w:name w:val="Heading 4 Char"/>
    <w:basedOn w:val="DefaultParagraphFont"/>
    <w:link w:val="Heading4"/>
    <w:uiPriority w:val="9"/>
    <w:rsid w:val="00AE53E5"/>
    <w:rPr>
      <w:rFonts w:ascii="Calibri Light" w:eastAsia="Times New Roman" w:hAnsi="Calibri Light" w:cs="Arial"/>
      <w:color w:val="4D7861" w:themeColor="accent2"/>
      <w:kern w:val="32"/>
      <w:sz w:val="24"/>
      <w:szCs w:val="26"/>
      <w:lang w:eastAsia="en-AU"/>
    </w:rPr>
  </w:style>
  <w:style w:type="table" w:styleId="TableGrid">
    <w:name w:val="Table Grid"/>
    <w:basedOn w:val="TableNormal"/>
    <w:uiPriority w:val="39"/>
    <w:rsid w:val="008F0B15"/>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3C4F86"/>
    <w:tblPr>
      <w:tblBorders>
        <w:top w:val="single" w:sz="2" w:space="0" w:color="2E74B5"/>
        <w:left w:val="single" w:sz="2" w:space="0" w:color="2E74B5"/>
        <w:bottom w:val="single" w:sz="2" w:space="0" w:color="2E74B5"/>
        <w:right w:val="single" w:sz="2" w:space="0" w:color="2E74B5"/>
        <w:insideH w:val="single" w:sz="2" w:space="0" w:color="2E74B5"/>
        <w:insideV w:val="single" w:sz="2" w:space="0" w:color="2E74B5"/>
      </w:tblBorders>
    </w:tblPr>
    <w:tblStylePr w:type="firstRow">
      <w:rPr>
        <w:rFonts w:ascii="Calibri" w:hAnsi="Calibri"/>
        <w:b/>
        <w:i w:val="0"/>
        <w:color w:val="FFFFFF"/>
        <w:sz w:val="20"/>
      </w:rPr>
      <w:tblPr/>
      <w:tcPr>
        <w:shd w:val="clear" w:color="auto" w:fill="2E74B5"/>
      </w:tcPr>
    </w:tblStylePr>
  </w:style>
  <w:style w:type="paragraph" w:customStyle="1" w:styleId="Introtext">
    <w:name w:val="Intro text"/>
    <w:basedOn w:val="Normal"/>
    <w:qFormat/>
    <w:rsid w:val="008D5358"/>
    <w:pPr>
      <w:numPr>
        <w:ilvl w:val="1"/>
      </w:numPr>
      <w:spacing w:after="240"/>
    </w:pPr>
    <w:rPr>
      <w:rFonts w:ascii="Calibri" w:eastAsiaTheme="minorEastAsia" w:hAnsi="Calibri" w:cstheme="minorBidi"/>
      <w:color w:val="10263B"/>
      <w:sz w:val="26"/>
      <w:szCs w:val="26"/>
      <w:lang w:eastAsia="zh-CN"/>
    </w:rPr>
  </w:style>
  <w:style w:type="character" w:styleId="Hyperlink">
    <w:name w:val="Hyperlink"/>
    <w:uiPriority w:val="99"/>
    <w:rsid w:val="008D5358"/>
    <w:rPr>
      <w:color w:val="5D779D" w:themeColor="accent3"/>
      <w:u w:val="single"/>
    </w:rPr>
  </w:style>
  <w:style w:type="character" w:styleId="FollowedHyperlink">
    <w:name w:val="FollowedHyperlink"/>
    <w:basedOn w:val="DefaultParagraphFont"/>
    <w:uiPriority w:val="99"/>
    <w:semiHidden/>
    <w:unhideWhenUsed/>
    <w:rsid w:val="008F0B15"/>
    <w:rPr>
      <w:color w:val="844D9E" w:themeColor="followedHyperlink"/>
      <w:u w:val="single"/>
    </w:rPr>
  </w:style>
  <w:style w:type="paragraph" w:styleId="Revision">
    <w:name w:val="Revision"/>
    <w:hidden/>
    <w:uiPriority w:val="99"/>
    <w:semiHidden/>
    <w:rsid w:val="008D4CD0"/>
    <w:rPr>
      <w:rFonts w:ascii="Calibri Light" w:hAnsi="Calibri Light"/>
      <w:color w:val="0D0D0D" w:themeColor="text1" w:themeTint="F2"/>
      <w:sz w:val="22"/>
    </w:rPr>
  </w:style>
  <w:style w:type="character" w:styleId="PlaceholderText">
    <w:name w:val="Placeholder Text"/>
    <w:basedOn w:val="DefaultParagraphFont"/>
    <w:uiPriority w:val="99"/>
    <w:semiHidden/>
    <w:rsid w:val="008F0B15"/>
    <w:rPr>
      <w:color w:val="808080"/>
    </w:rPr>
  </w:style>
  <w:style w:type="character" w:customStyle="1" w:styleId="Heading5Char">
    <w:name w:val="Heading 5 Char"/>
    <w:basedOn w:val="DefaultParagraphFont"/>
    <w:link w:val="Heading5"/>
    <w:uiPriority w:val="9"/>
    <w:rsid w:val="00AE53E5"/>
    <w:rPr>
      <w:rFonts w:asciiTheme="majorHAnsi" w:eastAsia="Times New Roman" w:hAnsiTheme="majorHAnsi" w:cs="Arial"/>
      <w:b/>
      <w:iCs/>
      <w:color w:val="000000" w:themeColor="text1"/>
      <w:kern w:val="32"/>
      <w:sz w:val="22"/>
      <w:szCs w:val="36"/>
      <w:lang w:eastAsia="en-AU"/>
    </w:rPr>
  </w:style>
  <w:style w:type="paragraph" w:customStyle="1" w:styleId="BoxHeading">
    <w:name w:val="Box Heading"/>
    <w:basedOn w:val="Normal"/>
    <w:next w:val="Normal"/>
    <w:rsid w:val="00AE53E5"/>
    <w:pPr>
      <w:keepNext/>
      <w:spacing w:before="240"/>
    </w:pPr>
    <w:rPr>
      <w:b/>
      <w:color w:val="2C384A" w:themeColor="accent1"/>
      <w:sz w:val="26"/>
      <w:szCs w:val="26"/>
    </w:rPr>
  </w:style>
  <w:style w:type="paragraph" w:customStyle="1" w:styleId="BoxText">
    <w:name w:val="Box Text"/>
    <w:basedOn w:val="Normal"/>
    <w:link w:val="BoxTextChar"/>
    <w:rsid w:val="00506BF4"/>
    <w:pPr>
      <w:spacing w:before="60" w:after="60"/>
    </w:pPr>
  </w:style>
  <w:style w:type="paragraph" w:customStyle="1" w:styleId="Bullet">
    <w:name w:val="Bullet"/>
    <w:aliases w:val="Body,Bullet + line,b,b + line,b1,level 1"/>
    <w:basedOn w:val="Normal"/>
    <w:link w:val="BulletChar"/>
    <w:qFormat/>
    <w:rsid w:val="00BA123B"/>
    <w:pPr>
      <w:numPr>
        <w:numId w:val="3"/>
      </w:numPr>
      <w:tabs>
        <w:tab w:val="clear" w:pos="520"/>
      </w:tabs>
      <w:spacing w:before="0" w:line="276" w:lineRule="auto"/>
      <w:ind w:left="170" w:hanging="170"/>
    </w:pPr>
  </w:style>
  <w:style w:type="character" w:customStyle="1" w:styleId="BoxTextChar">
    <w:name w:val="Box Text Char"/>
    <w:basedOn w:val="DefaultParagraphFont"/>
    <w:link w:val="BoxText"/>
    <w:rsid w:val="00506BF4"/>
    <w:rPr>
      <w:rFonts w:ascii="Calibri Light" w:eastAsia="Times New Roman" w:hAnsi="Calibri Light"/>
      <w:sz w:val="22"/>
      <w:lang w:eastAsia="en-AU"/>
    </w:rPr>
  </w:style>
  <w:style w:type="character" w:customStyle="1" w:styleId="BulletChar">
    <w:name w:val="Bullet Char"/>
    <w:aliases w:val="b + line Char Char,b Char,b Char Char,Body Char,Bullet + line Char,b + line Char,b1 Char,level 1 Char"/>
    <w:basedOn w:val="DefaultParagraphFont"/>
    <w:link w:val="Bullet"/>
    <w:rsid w:val="00BA123B"/>
    <w:rPr>
      <w:rFonts w:ascii="Calibri Light" w:eastAsia="Times New Roman" w:hAnsi="Calibri Light"/>
      <w:sz w:val="22"/>
      <w:lang w:eastAsia="en-AU"/>
    </w:rPr>
  </w:style>
  <w:style w:type="paragraph" w:customStyle="1" w:styleId="Boxbullet">
    <w:name w:val="Box bullet"/>
    <w:basedOn w:val="Bullet"/>
    <w:rsid w:val="00BA123B"/>
    <w:pPr>
      <w:spacing w:after="60"/>
    </w:pPr>
    <w:rPr>
      <w:color w:val="0D0D0D" w:themeColor="text1" w:themeTint="F2"/>
    </w:rPr>
  </w:style>
  <w:style w:type="paragraph" w:customStyle="1" w:styleId="Boxdash">
    <w:name w:val="Box dash"/>
    <w:basedOn w:val="Dash"/>
    <w:rsid w:val="00BA123B"/>
    <w:pPr>
      <w:tabs>
        <w:tab w:val="num" w:pos="1040"/>
      </w:tabs>
      <w:spacing w:after="60" w:line="276" w:lineRule="auto"/>
    </w:pPr>
    <w:rPr>
      <w:rFonts w:eastAsiaTheme="minorHAnsi"/>
      <w:color w:val="0D0D0D" w:themeColor="text1" w:themeTint="F2"/>
    </w:rPr>
  </w:style>
  <w:style w:type="paragraph" w:customStyle="1" w:styleId="Boxdoubledot">
    <w:name w:val="Box double dot"/>
    <w:basedOn w:val="DoubleDot"/>
    <w:rsid w:val="00BA123B"/>
    <w:pPr>
      <w:tabs>
        <w:tab w:val="num" w:pos="1560"/>
      </w:tabs>
      <w:spacing w:after="60" w:line="276" w:lineRule="auto"/>
    </w:pPr>
    <w:rPr>
      <w:rFonts w:eastAsiaTheme="minorHAnsi"/>
      <w:color w:val="0D0D0D" w:themeColor="text1" w:themeTint="F2"/>
    </w:rPr>
  </w:style>
  <w:style w:type="character" w:customStyle="1" w:styleId="Heading9Char">
    <w:name w:val="Heading 9 Char"/>
    <w:basedOn w:val="DefaultParagraphFont"/>
    <w:link w:val="Heading9"/>
    <w:uiPriority w:val="9"/>
    <w:rsid w:val="00C23C8C"/>
    <w:rPr>
      <w:rFonts w:asciiTheme="majorHAnsi" w:eastAsiaTheme="majorEastAsia" w:hAnsiTheme="majorHAnsi" w:cstheme="majorBidi"/>
      <w:iCs/>
      <w:color w:val="272727" w:themeColor="text1" w:themeTint="D8"/>
      <w:sz w:val="21"/>
      <w:szCs w:val="21"/>
    </w:rPr>
  </w:style>
  <w:style w:type="character" w:customStyle="1" w:styleId="Heading8Char">
    <w:name w:val="Heading 8 Char"/>
    <w:basedOn w:val="DefaultParagraphFont"/>
    <w:link w:val="Heading8"/>
    <w:uiPriority w:val="9"/>
    <w:rsid w:val="00C23C8C"/>
    <w:rPr>
      <w:rFonts w:asciiTheme="majorHAnsi" w:eastAsiaTheme="majorEastAsia" w:hAnsiTheme="majorHAnsi" w:cstheme="majorBidi"/>
      <w:color w:val="272727" w:themeColor="text1" w:themeTint="D8"/>
      <w:sz w:val="21"/>
      <w:szCs w:val="21"/>
    </w:rPr>
  </w:style>
  <w:style w:type="character" w:customStyle="1" w:styleId="Heading6Char">
    <w:name w:val="Heading 6 Char"/>
    <w:basedOn w:val="DefaultParagraphFont"/>
    <w:link w:val="Heading6"/>
    <w:uiPriority w:val="9"/>
    <w:rsid w:val="00AE53E5"/>
    <w:rPr>
      <w:rFonts w:ascii="Calibri Light" w:eastAsia="Times New Roman" w:hAnsi="Calibri Light" w:cs="Arial"/>
      <w:color w:val="000000" w:themeColor="text1"/>
      <w:kern w:val="32"/>
      <w:sz w:val="22"/>
      <w:szCs w:val="22"/>
      <w:lang w:eastAsia="en-AU"/>
    </w:rPr>
  </w:style>
  <w:style w:type="character" w:customStyle="1" w:styleId="Heading7Char">
    <w:name w:val="Heading 7 Char"/>
    <w:basedOn w:val="DefaultParagraphFont"/>
    <w:link w:val="Heading7"/>
    <w:uiPriority w:val="9"/>
    <w:rsid w:val="00C23C8C"/>
    <w:rPr>
      <w:rFonts w:asciiTheme="majorHAnsi" w:eastAsiaTheme="majorEastAsia" w:hAnsiTheme="majorHAnsi" w:cstheme="majorBidi"/>
      <w:iCs/>
      <w:color w:val="161B24" w:themeColor="accent1" w:themeShade="7F"/>
      <w:sz w:val="22"/>
    </w:rPr>
  </w:style>
  <w:style w:type="paragraph" w:styleId="NoSpacing">
    <w:name w:val="No Spacing"/>
    <w:link w:val="NoSpacingChar"/>
    <w:uiPriority w:val="1"/>
    <w:qFormat/>
    <w:rsid w:val="008F0B15"/>
    <w:rPr>
      <w:rFonts w:asciiTheme="minorHAnsi" w:eastAsiaTheme="minorEastAsia" w:hAnsiTheme="minorHAnsi" w:cstheme="minorBidi"/>
      <w:sz w:val="22"/>
      <w:szCs w:val="22"/>
      <w:lang w:val="en-US"/>
    </w:rPr>
  </w:style>
  <w:style w:type="paragraph" w:customStyle="1" w:styleId="Default">
    <w:name w:val="Default"/>
    <w:rsid w:val="008F0B15"/>
    <w:pPr>
      <w:autoSpaceDE w:val="0"/>
      <w:autoSpaceDN w:val="0"/>
      <w:adjustRightInd w:val="0"/>
    </w:pPr>
    <w:rPr>
      <w:rFonts w:ascii="Verdana" w:eastAsia="Times New Roman" w:hAnsi="Verdana" w:cs="Verdana"/>
      <w:color w:val="000000"/>
      <w:sz w:val="24"/>
      <w:szCs w:val="24"/>
      <w:lang w:eastAsia="en-AU"/>
    </w:rPr>
  </w:style>
  <w:style w:type="character" w:styleId="FootnoteReference">
    <w:name w:val="footnote reference"/>
    <w:basedOn w:val="DefaultParagraphFont"/>
    <w:uiPriority w:val="99"/>
    <w:rsid w:val="008F0B15"/>
    <w:rPr>
      <w:vertAlign w:val="superscript"/>
    </w:rPr>
  </w:style>
  <w:style w:type="paragraph" w:styleId="FootnoteText">
    <w:name w:val="footnote text"/>
    <w:basedOn w:val="Normal"/>
    <w:link w:val="FootnoteTextChar"/>
    <w:uiPriority w:val="99"/>
    <w:rsid w:val="008F0B15"/>
    <w:pPr>
      <w:spacing w:after="0"/>
    </w:pPr>
    <w:rPr>
      <w:sz w:val="20"/>
    </w:rPr>
  </w:style>
  <w:style w:type="character" w:customStyle="1" w:styleId="FootnoteTextChar">
    <w:name w:val="Footnote Text Char"/>
    <w:basedOn w:val="DefaultParagraphFont"/>
    <w:link w:val="FootnoteText"/>
    <w:uiPriority w:val="99"/>
    <w:rsid w:val="008F0B15"/>
    <w:rPr>
      <w:rFonts w:ascii="Times New Roman" w:eastAsia="Times New Roman" w:hAnsi="Times New Roman"/>
    </w:rPr>
  </w:style>
  <w:style w:type="table" w:customStyle="1" w:styleId="GridTable5Dark-Accent61">
    <w:name w:val="Grid Table 5 Dark - Accent 61"/>
    <w:basedOn w:val="TableNormal"/>
    <w:uiPriority w:val="50"/>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CEEE5"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0AE81"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0AE81"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0AE81"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0AE81" w:themeFill="accent6"/>
      </w:tcPr>
    </w:tblStylePr>
    <w:tblStylePr w:type="band1Vert">
      <w:tblPr/>
      <w:tcPr>
        <w:shd w:val="clear" w:color="auto" w:fill="F9DECC" w:themeFill="accent6" w:themeFillTint="66"/>
      </w:tcPr>
    </w:tblStylePr>
    <w:tblStylePr w:type="band1Horz">
      <w:tblPr/>
      <w:tcPr>
        <w:shd w:val="clear" w:color="auto" w:fill="F9DECC" w:themeFill="accent6" w:themeFillTint="66"/>
      </w:tcPr>
    </w:tblStylePr>
  </w:style>
  <w:style w:type="paragraph" w:customStyle="1" w:styleId="KeyContactsName">
    <w:name w:val="KeyContacts Name"/>
    <w:basedOn w:val="Normal"/>
    <w:next w:val="Normal"/>
    <w:semiHidden/>
    <w:rsid w:val="008F2212"/>
    <w:pPr>
      <w:framePr w:w="2058" w:h="13054" w:hRule="exact" w:wrap="around" w:vAnchor="text" w:hAnchor="page" w:x="965" w:y="1"/>
      <w:pBdr>
        <w:top w:val="single" w:sz="18" w:space="1" w:color="CCD6E3"/>
        <w:left w:val="single" w:sz="18" w:space="4" w:color="CCD6E3"/>
        <w:bottom w:val="single" w:sz="18" w:space="1" w:color="CCD6E3"/>
        <w:right w:val="single" w:sz="18" w:space="4" w:color="CCD6E3"/>
      </w:pBdr>
      <w:shd w:val="clear" w:color="auto" w:fill="CCD6E3"/>
      <w:spacing w:before="240" w:after="0" w:afterAutospacing="1" w:line="264" w:lineRule="auto"/>
    </w:pPr>
    <w:rPr>
      <w:rFonts w:ascii="Univers 45 Light" w:hAnsi="Univers 45 Light"/>
      <w:b/>
      <w:color w:val="0C2D83"/>
      <w:sz w:val="18"/>
      <w:szCs w:val="24"/>
      <w:lang w:val="en-GB"/>
    </w:rPr>
  </w:style>
  <w:style w:type="paragraph" w:styleId="ListParagraph">
    <w:name w:val="List Paragraph"/>
    <w:aliases w:val="List Bullet Cab,CAB - List Bullet"/>
    <w:basedOn w:val="Normal"/>
    <w:link w:val="ListParagraphChar"/>
    <w:uiPriority w:val="34"/>
    <w:qFormat/>
    <w:rsid w:val="008F0B15"/>
    <w:pPr>
      <w:ind w:left="720"/>
      <w:contextualSpacing/>
    </w:pPr>
  </w:style>
  <w:style w:type="character" w:customStyle="1" w:styleId="ListParagraphChar">
    <w:name w:val="List Paragraph Char"/>
    <w:aliases w:val="List Bullet Cab Char,CAB - List Bullet Char"/>
    <w:basedOn w:val="DefaultParagraphFont"/>
    <w:link w:val="ListParagraph"/>
    <w:uiPriority w:val="34"/>
    <w:rsid w:val="008F0B15"/>
    <w:rPr>
      <w:rFonts w:ascii="Times New Roman" w:eastAsia="Times New Roman" w:hAnsi="Times New Roman"/>
      <w:sz w:val="24"/>
      <w:szCs w:val="24"/>
    </w:rPr>
  </w:style>
  <w:style w:type="table" w:customStyle="1" w:styleId="ListTable4-Accent61">
    <w:name w:val="List Table 4 - Accent 61"/>
    <w:basedOn w:val="TableNormal"/>
    <w:uiPriority w:val="49"/>
    <w:rsid w:val="008F0B15"/>
    <w:pPr>
      <w:spacing w:before="100"/>
    </w:pPr>
    <w:rPr>
      <w:rFonts w:asciiTheme="minorHAnsi" w:eastAsiaTheme="minorEastAsia" w:hAnsiTheme="minorHAnsi" w:cstheme="minorBidi"/>
      <w:lang w:eastAsia="en-AU"/>
    </w:rPr>
    <w:tblPr>
      <w:tblStyleRowBandSize w:val="1"/>
      <w:tblStyleColBandSize w:val="1"/>
      <w:tblBorders>
        <w:top w:val="single" w:sz="4" w:space="0" w:color="F6CEB3" w:themeColor="accent6" w:themeTint="99"/>
        <w:left w:val="single" w:sz="4" w:space="0" w:color="F6CEB3" w:themeColor="accent6" w:themeTint="99"/>
        <w:bottom w:val="single" w:sz="4" w:space="0" w:color="F6CEB3" w:themeColor="accent6" w:themeTint="99"/>
        <w:right w:val="single" w:sz="4" w:space="0" w:color="F6CEB3" w:themeColor="accent6" w:themeTint="99"/>
        <w:insideH w:val="single" w:sz="4" w:space="0" w:color="F6CEB3" w:themeColor="accent6" w:themeTint="99"/>
      </w:tblBorders>
    </w:tblPr>
    <w:tblStylePr w:type="firstRow">
      <w:rPr>
        <w:b/>
        <w:bCs/>
        <w:color w:val="FFFFFF" w:themeColor="background1"/>
      </w:rPr>
      <w:tblPr/>
      <w:tcPr>
        <w:tcBorders>
          <w:top w:val="single" w:sz="4" w:space="0" w:color="F0AE81" w:themeColor="accent6"/>
          <w:left w:val="single" w:sz="4" w:space="0" w:color="F0AE81" w:themeColor="accent6"/>
          <w:bottom w:val="single" w:sz="4" w:space="0" w:color="F0AE81" w:themeColor="accent6"/>
          <w:right w:val="single" w:sz="4" w:space="0" w:color="F0AE81" w:themeColor="accent6"/>
          <w:insideH w:val="nil"/>
        </w:tcBorders>
        <w:shd w:val="clear" w:color="auto" w:fill="F0AE81" w:themeFill="accent6"/>
      </w:tcPr>
    </w:tblStylePr>
    <w:tblStylePr w:type="lastRow">
      <w:rPr>
        <w:b/>
        <w:bCs/>
      </w:rPr>
      <w:tblPr/>
      <w:tcPr>
        <w:tcBorders>
          <w:top w:val="double" w:sz="4" w:space="0" w:color="F6CEB3" w:themeColor="accent6" w:themeTint="99"/>
        </w:tcBorders>
      </w:tcPr>
    </w:tblStylePr>
    <w:tblStylePr w:type="firstCol">
      <w:rPr>
        <w:b/>
        <w:bCs/>
      </w:rPr>
    </w:tblStylePr>
    <w:tblStylePr w:type="lastCol">
      <w:rPr>
        <w:b/>
        <w:bCs/>
      </w:rPr>
    </w:tblStylePr>
    <w:tblStylePr w:type="band1Vert">
      <w:tblPr/>
      <w:tcPr>
        <w:shd w:val="clear" w:color="auto" w:fill="FCEEE5" w:themeFill="accent6" w:themeFillTint="33"/>
      </w:tcPr>
    </w:tblStylePr>
    <w:tblStylePr w:type="band1Horz">
      <w:tblPr/>
      <w:tcPr>
        <w:shd w:val="clear" w:color="auto" w:fill="FCEEE5" w:themeFill="accent6" w:themeFillTint="33"/>
      </w:tcPr>
    </w:tblStylePr>
  </w:style>
  <w:style w:type="character" w:customStyle="1" w:styleId="NoSpacingChar">
    <w:name w:val="No Spacing Char"/>
    <w:basedOn w:val="DefaultParagraphFont"/>
    <w:link w:val="NoSpacing"/>
    <w:uiPriority w:val="1"/>
    <w:rsid w:val="008F0B15"/>
    <w:rPr>
      <w:rFonts w:asciiTheme="minorHAnsi" w:eastAsiaTheme="minorEastAsia" w:hAnsiTheme="minorHAnsi" w:cstheme="minorBidi"/>
      <w:sz w:val="22"/>
      <w:szCs w:val="22"/>
      <w:lang w:val="en-US"/>
    </w:rPr>
  </w:style>
  <w:style w:type="paragraph" w:styleId="NormalWeb">
    <w:name w:val="Normal (Web)"/>
    <w:basedOn w:val="Normal"/>
    <w:uiPriority w:val="99"/>
    <w:rsid w:val="008F0B15"/>
    <w:pPr>
      <w:spacing w:before="100" w:beforeAutospacing="1" w:after="100" w:afterAutospacing="1"/>
    </w:pPr>
  </w:style>
  <w:style w:type="character" w:styleId="PageNumber">
    <w:name w:val="page number"/>
    <w:basedOn w:val="DefaultParagraphFont"/>
    <w:uiPriority w:val="99"/>
    <w:rsid w:val="008F0B15"/>
  </w:style>
  <w:style w:type="numbering" w:customStyle="1" w:styleId="StyleBulletedSymbolsymbol11ptLeft4cmHanging05">
    <w:name w:val="Style Bulleted Symbol (symbol) 11 pt Left:  4 cm Hanging:  0.5 ..."/>
    <w:basedOn w:val="NoList"/>
    <w:rsid w:val="008F0B15"/>
    <w:pPr>
      <w:numPr>
        <w:numId w:val="1"/>
      </w:numPr>
    </w:pPr>
  </w:style>
  <w:style w:type="numbering" w:customStyle="1" w:styleId="StyleBulletedSymbolsymbol11ptLeft4cmHanging051">
    <w:name w:val="Style Bulleted Symbol (symbol) 11 pt Left:  4 cm Hanging:  0.5 ...1"/>
    <w:basedOn w:val="NoList"/>
    <w:rsid w:val="008F0B15"/>
    <w:pPr>
      <w:numPr>
        <w:numId w:val="2"/>
      </w:numPr>
    </w:pPr>
  </w:style>
  <w:style w:type="numbering" w:customStyle="1" w:styleId="BoxBulletedList">
    <w:name w:val="Box Bulleted List"/>
    <w:uiPriority w:val="99"/>
    <w:rsid w:val="00AE53E5"/>
    <w:pPr>
      <w:numPr>
        <w:numId w:val="4"/>
      </w:numPr>
    </w:pPr>
  </w:style>
  <w:style w:type="paragraph" w:customStyle="1" w:styleId="Tableheading">
    <w:name w:val="Table heading"/>
    <w:basedOn w:val="Normal"/>
    <w:rsid w:val="008F2212"/>
    <w:pPr>
      <w:keepLines/>
      <w:jc w:val="center"/>
    </w:pPr>
    <w:rPr>
      <w:b/>
    </w:rPr>
  </w:style>
  <w:style w:type="paragraph" w:customStyle="1" w:styleId="TableText">
    <w:name w:val="Table Text"/>
    <w:basedOn w:val="Normal"/>
    <w:rsid w:val="00BA123B"/>
    <w:pPr>
      <w:spacing w:before="100" w:line="264" w:lineRule="auto"/>
    </w:pPr>
    <w:rPr>
      <w:rFonts w:ascii="Calibri" w:eastAsia="Batang" w:hAnsi="Calibri" w:cstheme="minorBidi"/>
      <w:sz w:val="24"/>
    </w:rPr>
  </w:style>
  <w:style w:type="paragraph" w:customStyle="1" w:styleId="Tabletext0">
    <w:name w:val="Table text"/>
    <w:basedOn w:val="Normal"/>
    <w:link w:val="TabletextChar"/>
    <w:qFormat/>
    <w:rsid w:val="00BA123B"/>
    <w:pPr>
      <w:spacing w:before="80" w:after="80"/>
    </w:pPr>
    <w:rPr>
      <w:rFonts w:ascii="Univers 45 Light" w:hAnsi="Univers 45 Light"/>
      <w:sz w:val="19"/>
    </w:rPr>
  </w:style>
  <w:style w:type="character" w:customStyle="1" w:styleId="TabletextChar">
    <w:name w:val="Table text Char"/>
    <w:basedOn w:val="DefaultParagraphFont"/>
    <w:link w:val="Tabletext0"/>
    <w:rsid w:val="008F0B15"/>
    <w:rPr>
      <w:rFonts w:ascii="Univers 45 Light" w:eastAsia="Times New Roman" w:hAnsi="Univers 45 Light"/>
      <w:sz w:val="19"/>
    </w:rPr>
  </w:style>
  <w:style w:type="paragraph" w:customStyle="1" w:styleId="OutlineNumbered1">
    <w:name w:val="Outline Numbered 1"/>
    <w:basedOn w:val="Normal"/>
    <w:link w:val="OutlineNumbered1Char"/>
    <w:rsid w:val="003715C7"/>
    <w:pPr>
      <w:numPr>
        <w:numId w:val="7"/>
      </w:numPr>
      <w:spacing w:before="0" w:after="220"/>
    </w:pPr>
    <w:rPr>
      <w:rFonts w:ascii="Calibri" w:hAnsi="Calibri"/>
      <w:color w:val="000000" w:themeColor="text1"/>
      <w:sz w:val="24"/>
      <w:szCs w:val="24"/>
    </w:rPr>
  </w:style>
  <w:style w:type="character" w:customStyle="1" w:styleId="OutlineNumbered1Char">
    <w:name w:val="Outline Numbered 1 Char"/>
    <w:link w:val="OutlineNumbered1"/>
    <w:locked/>
    <w:rsid w:val="003715C7"/>
    <w:rPr>
      <w:rFonts w:eastAsia="Times New Roman"/>
      <w:color w:val="000000" w:themeColor="text1"/>
      <w:sz w:val="24"/>
      <w:szCs w:val="24"/>
      <w:lang w:eastAsia="en-AU"/>
    </w:rPr>
  </w:style>
  <w:style w:type="paragraph" w:customStyle="1" w:styleId="OutlineNumbered2">
    <w:name w:val="Outline Numbered 2"/>
    <w:basedOn w:val="Normal"/>
    <w:link w:val="OutlineNumbered2Char"/>
    <w:rsid w:val="003715C7"/>
    <w:pPr>
      <w:numPr>
        <w:ilvl w:val="1"/>
        <w:numId w:val="7"/>
      </w:numPr>
      <w:spacing w:before="0" w:after="220"/>
    </w:pPr>
    <w:rPr>
      <w:rFonts w:ascii="Calibri" w:hAnsi="Calibri"/>
      <w:color w:val="000000" w:themeColor="text1"/>
      <w:sz w:val="24"/>
      <w:szCs w:val="24"/>
    </w:rPr>
  </w:style>
  <w:style w:type="character" w:customStyle="1" w:styleId="OutlineNumbered2Char">
    <w:name w:val="Outline Numbered 2 Char"/>
    <w:link w:val="OutlineNumbered2"/>
    <w:locked/>
    <w:rsid w:val="003715C7"/>
    <w:rPr>
      <w:rFonts w:eastAsia="Times New Roman"/>
      <w:color w:val="000000" w:themeColor="text1"/>
      <w:sz w:val="24"/>
      <w:szCs w:val="24"/>
      <w:lang w:eastAsia="en-AU"/>
    </w:rPr>
  </w:style>
  <w:style w:type="paragraph" w:customStyle="1" w:styleId="OutlineNumbered3">
    <w:name w:val="Outline Numbered 3"/>
    <w:basedOn w:val="Normal"/>
    <w:link w:val="OutlineNumbered3Char"/>
    <w:rsid w:val="003715C7"/>
    <w:pPr>
      <w:numPr>
        <w:ilvl w:val="2"/>
        <w:numId w:val="7"/>
      </w:numPr>
      <w:spacing w:before="0" w:after="220"/>
    </w:pPr>
    <w:rPr>
      <w:rFonts w:ascii="Calibri" w:hAnsi="Calibri"/>
      <w:color w:val="000000" w:themeColor="text1"/>
      <w:sz w:val="24"/>
      <w:szCs w:val="24"/>
    </w:rPr>
  </w:style>
  <w:style w:type="character" w:customStyle="1" w:styleId="OutlineNumbered3Char">
    <w:name w:val="Outline Numbered 3 Char"/>
    <w:link w:val="OutlineNumbered3"/>
    <w:locked/>
    <w:rsid w:val="003715C7"/>
    <w:rPr>
      <w:rFonts w:eastAsia="Times New Roman"/>
      <w:color w:val="000000" w:themeColor="text1"/>
      <w:sz w:val="24"/>
      <w:szCs w:val="24"/>
      <w:lang w:eastAsia="en-AU"/>
    </w:rPr>
  </w:style>
  <w:style w:type="paragraph" w:customStyle="1" w:styleId="SingleParagraph">
    <w:name w:val="Single Paragraph"/>
    <w:basedOn w:val="Normal"/>
    <w:rsid w:val="003715C7"/>
    <w:pPr>
      <w:spacing w:before="0" w:after="220"/>
    </w:pPr>
    <w:rPr>
      <w:rFonts w:ascii="Calibri" w:hAnsi="Calibri"/>
      <w:color w:val="000000" w:themeColor="text1"/>
      <w:sz w:val="24"/>
      <w:szCs w:val="24"/>
    </w:rPr>
  </w:style>
  <w:style w:type="paragraph" w:customStyle="1" w:styleId="ChartMainHeading">
    <w:name w:val="Chart Main Heading"/>
    <w:basedOn w:val="SingleParagraph"/>
    <w:next w:val="Normal"/>
    <w:rsid w:val="003715C7"/>
    <w:pPr>
      <w:jc w:val="center"/>
    </w:pPr>
    <w:rPr>
      <w:b/>
      <w:caps/>
    </w:rPr>
  </w:style>
  <w:style w:type="paragraph" w:customStyle="1" w:styleId="ChartSecondHeading">
    <w:name w:val="Chart Second Heading"/>
    <w:basedOn w:val="SingleParagraph"/>
    <w:next w:val="Normal"/>
    <w:rsid w:val="003715C7"/>
    <w:pPr>
      <w:jc w:val="center"/>
    </w:pPr>
    <w:rPr>
      <w:b/>
    </w:rPr>
  </w:style>
  <w:style w:type="paragraph" w:customStyle="1" w:styleId="TableMainHeading">
    <w:name w:val="Table Main Heading"/>
    <w:basedOn w:val="ChartMainHeading"/>
    <w:rsid w:val="003715C7"/>
  </w:style>
  <w:style w:type="character" w:styleId="CommentReference">
    <w:name w:val="annotation reference"/>
    <w:uiPriority w:val="99"/>
    <w:semiHidden/>
    <w:rsid w:val="003715C7"/>
    <w:rPr>
      <w:rFonts w:cs="Times New Roman"/>
      <w:sz w:val="16"/>
    </w:rPr>
  </w:style>
  <w:style w:type="paragraph" w:styleId="CommentText">
    <w:name w:val="annotation text"/>
    <w:basedOn w:val="Normal"/>
    <w:link w:val="CommentTextChar"/>
    <w:uiPriority w:val="99"/>
    <w:semiHidden/>
    <w:rsid w:val="003715C7"/>
    <w:pPr>
      <w:spacing w:before="0" w:after="220"/>
    </w:pPr>
    <w:rPr>
      <w:rFonts w:ascii="Calibri" w:hAnsi="Calibri"/>
      <w:color w:val="000000" w:themeColor="text1"/>
      <w:sz w:val="20"/>
    </w:rPr>
  </w:style>
  <w:style w:type="character" w:customStyle="1" w:styleId="CommentTextChar">
    <w:name w:val="Comment Text Char"/>
    <w:basedOn w:val="DefaultParagraphFont"/>
    <w:link w:val="CommentText"/>
    <w:uiPriority w:val="99"/>
    <w:semiHidden/>
    <w:rsid w:val="003715C7"/>
    <w:rPr>
      <w:rFonts w:eastAsia="Times New Roman"/>
      <w:color w:val="000000" w:themeColor="text1"/>
      <w:lang w:eastAsia="en-AU"/>
    </w:rPr>
  </w:style>
  <w:style w:type="paragraph" w:styleId="CommentSubject">
    <w:name w:val="annotation subject"/>
    <w:basedOn w:val="CommentText"/>
    <w:next w:val="CommentText"/>
    <w:link w:val="CommentSubjectChar"/>
    <w:uiPriority w:val="99"/>
    <w:semiHidden/>
    <w:rsid w:val="003715C7"/>
    <w:rPr>
      <w:b/>
      <w:bCs/>
    </w:rPr>
  </w:style>
  <w:style w:type="character" w:customStyle="1" w:styleId="CommentSubjectChar">
    <w:name w:val="Comment Subject Char"/>
    <w:basedOn w:val="CommentTextChar"/>
    <w:link w:val="CommentSubject"/>
    <w:uiPriority w:val="99"/>
    <w:semiHidden/>
    <w:rsid w:val="003715C7"/>
    <w:rPr>
      <w:rFonts w:eastAsia="Times New Roman"/>
      <w:b/>
      <w:bCs/>
      <w:color w:val="000000" w:themeColor="text1"/>
      <w:lang w:eastAsia="en-AU"/>
    </w:rPr>
  </w:style>
  <w:style w:type="paragraph" w:styleId="PlainText">
    <w:name w:val="Plain Text"/>
    <w:basedOn w:val="Normal"/>
    <w:link w:val="PlainTextChar"/>
    <w:uiPriority w:val="99"/>
    <w:rsid w:val="003715C7"/>
    <w:pPr>
      <w:spacing w:before="0" w:after="220"/>
    </w:pPr>
    <w:rPr>
      <w:rFonts w:ascii="Courier New" w:hAnsi="Courier New" w:cs="Courier New"/>
      <w:color w:val="000000" w:themeColor="text1"/>
      <w:sz w:val="20"/>
    </w:rPr>
  </w:style>
  <w:style w:type="character" w:customStyle="1" w:styleId="PlainTextChar">
    <w:name w:val="Plain Text Char"/>
    <w:basedOn w:val="DefaultParagraphFont"/>
    <w:link w:val="PlainText"/>
    <w:uiPriority w:val="99"/>
    <w:rsid w:val="003715C7"/>
    <w:rPr>
      <w:rFonts w:ascii="Courier New" w:eastAsia="Times New Roman" w:hAnsi="Courier New" w:cs="Courier New"/>
      <w:color w:val="000000" w:themeColor="text1"/>
      <w:lang w:eastAsia="en-AU"/>
    </w:rPr>
  </w:style>
  <w:style w:type="paragraph" w:customStyle="1" w:styleId="FileProperties">
    <w:name w:val="File Properties"/>
    <w:basedOn w:val="Normal"/>
    <w:rsid w:val="003715C7"/>
    <w:pPr>
      <w:spacing w:before="0" w:after="220" w:line="260" w:lineRule="exact"/>
      <w:jc w:val="both"/>
    </w:pPr>
    <w:rPr>
      <w:rFonts w:ascii="Book Antiqua" w:hAnsi="Book Antiqua"/>
      <w:i/>
      <w:color w:val="000000" w:themeColor="text1"/>
      <w:sz w:val="20"/>
    </w:rPr>
  </w:style>
  <w:style w:type="character" w:customStyle="1" w:styleId="italic">
    <w:name w:val="italic"/>
    <w:rsid w:val="003715C7"/>
    <w:rPr>
      <w:i/>
    </w:rPr>
  </w:style>
  <w:style w:type="paragraph" w:customStyle="1" w:styleId="HeadingBase">
    <w:name w:val="Heading Base"/>
    <w:next w:val="Normal"/>
    <w:rsid w:val="003715C7"/>
    <w:rPr>
      <w:rFonts w:ascii="Arial Narrow" w:eastAsia="Times New Roman" w:hAnsi="Arial Narrow"/>
      <w:color w:val="003E74"/>
      <w:lang w:eastAsia="en-AU"/>
    </w:rPr>
  </w:style>
  <w:style w:type="paragraph" w:customStyle="1" w:styleId="Factsheetnumber">
    <w:name w:val="Fact sheet number"/>
    <w:basedOn w:val="HeadingBase"/>
    <w:next w:val="Normal"/>
    <w:rsid w:val="003715C7"/>
    <w:pPr>
      <w:jc w:val="center"/>
    </w:pPr>
    <w:rPr>
      <w:b/>
      <w:smallCaps/>
      <w:sz w:val="40"/>
    </w:rPr>
  </w:style>
  <w:style w:type="paragraph" w:customStyle="1" w:styleId="Version">
    <w:name w:val="Version"/>
    <w:basedOn w:val="Normal"/>
    <w:qFormat/>
    <w:rsid w:val="003715C7"/>
    <w:pPr>
      <w:spacing w:before="0" w:after="0"/>
      <w:jc w:val="right"/>
    </w:pPr>
    <w:rPr>
      <w:color w:val="134A6D"/>
      <w:sz w:val="20"/>
      <w:szCs w:val="24"/>
    </w:rPr>
  </w:style>
  <w:style w:type="paragraph" w:customStyle="1" w:styleId="Boxheading0">
    <w:name w:val="Box heading"/>
    <w:basedOn w:val="Heading4"/>
    <w:qFormat/>
    <w:rsid w:val="003715C7"/>
    <w:pPr>
      <w:pBdr>
        <w:top w:val="single" w:sz="2" w:space="1" w:color="003E74"/>
        <w:left w:val="single" w:sz="2" w:space="4" w:color="003E74"/>
        <w:bottom w:val="single" w:sz="2" w:space="1" w:color="003E74"/>
        <w:right w:val="single" w:sz="2" w:space="4" w:color="003E74"/>
      </w:pBdr>
      <w:shd w:val="clear" w:color="auto" w:fill="FBFDFF"/>
      <w:spacing w:before="60" w:after="120" w:line="240" w:lineRule="auto"/>
    </w:pPr>
    <w:rPr>
      <w:rFonts w:asciiTheme="minorHAnsi" w:hAnsiTheme="minorHAnsi" w:cs="Times New Roman"/>
      <w:b/>
      <w:color w:val="003E74"/>
      <w:kern w:val="0"/>
      <w:szCs w:val="22"/>
    </w:rPr>
  </w:style>
  <w:style w:type="paragraph" w:customStyle="1" w:styleId="TableTextBullet0">
    <w:name w:val="Table Text Bullet"/>
    <w:basedOn w:val="Normal"/>
    <w:rsid w:val="003715C7"/>
    <w:pPr>
      <w:numPr>
        <w:numId w:val="9"/>
      </w:numPr>
      <w:tabs>
        <w:tab w:val="left" w:pos="397"/>
      </w:tabs>
      <w:spacing w:before="60" w:after="60"/>
      <w:ind w:left="397" w:hanging="397"/>
    </w:pPr>
    <w:rPr>
      <w:rFonts w:ascii="Arial Narrow" w:hAnsi="Arial Narrow"/>
      <w:color w:val="000000" w:themeColor="text1"/>
      <w:szCs w:val="24"/>
    </w:rPr>
  </w:style>
  <w:style w:type="paragraph" w:customStyle="1" w:styleId="BoxText1">
    <w:name w:val="Box Text 1"/>
    <w:basedOn w:val="Normal"/>
    <w:rsid w:val="003715C7"/>
    <w:pPr>
      <w:spacing w:before="0" w:after="220"/>
    </w:pPr>
    <w:rPr>
      <w:rFonts w:asciiTheme="minorHAnsi" w:hAnsiTheme="minorHAnsi"/>
      <w:color w:val="000000" w:themeColor="text1"/>
      <w:sz w:val="24"/>
      <w:szCs w:val="24"/>
    </w:rPr>
  </w:style>
  <w:style w:type="paragraph" w:customStyle="1" w:styleId="Tablecolumnheading">
    <w:name w:val="Table column heading"/>
    <w:basedOn w:val="Heading3"/>
    <w:qFormat/>
    <w:rsid w:val="003715C7"/>
    <w:pPr>
      <w:keepNext w:val="0"/>
      <w:spacing w:before="60" w:after="60" w:line="240" w:lineRule="auto"/>
    </w:pPr>
    <w:rPr>
      <w:rFonts w:cs="Times New Roman"/>
      <w:color w:val="003E74"/>
      <w:kern w:val="0"/>
      <w:sz w:val="22"/>
      <w:szCs w:val="20"/>
    </w:rPr>
  </w:style>
  <w:style w:type="paragraph" w:customStyle="1" w:styleId="Tabletextbullet">
    <w:name w:val="Table text bullet"/>
    <w:basedOn w:val="Normal"/>
    <w:qFormat/>
    <w:rsid w:val="003715C7"/>
    <w:pPr>
      <w:numPr>
        <w:numId w:val="10"/>
      </w:numPr>
      <w:spacing w:before="60" w:after="60"/>
      <w:ind w:left="334" w:hanging="334"/>
    </w:pPr>
    <w:rPr>
      <w:rFonts w:ascii="Calibri" w:hAnsi="Calibri"/>
      <w:color w:val="000000" w:themeColor="text1"/>
      <w:szCs w:val="22"/>
    </w:rPr>
  </w:style>
  <w:style w:type="table" w:customStyle="1" w:styleId="TableGrid2">
    <w:name w:val="Table Grid2"/>
    <w:basedOn w:val="TableNormal"/>
    <w:uiPriority w:val="59"/>
    <w:rsid w:val="003715C7"/>
    <w:rPr>
      <w:rFonts w:eastAsiaTheme="minorEastAsia"/>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3715C7"/>
    <w:rPr>
      <w:b/>
      <w:bCs/>
    </w:rPr>
  </w:style>
  <w:style w:type="paragraph" w:customStyle="1" w:styleId="Tablesecondheading">
    <w:name w:val="Table second heading"/>
    <w:basedOn w:val="Heading3"/>
    <w:qFormat/>
    <w:rsid w:val="003715C7"/>
    <w:pPr>
      <w:spacing w:before="120" w:after="60" w:line="240" w:lineRule="auto"/>
    </w:pPr>
    <w:rPr>
      <w:rFonts w:cs="Times New Roman"/>
      <w:noProof/>
      <w:color w:val="003E74"/>
      <w:kern w:val="0"/>
      <w:sz w:val="22"/>
      <w:szCs w:val="20"/>
    </w:rPr>
  </w:style>
  <w:style w:type="paragraph" w:customStyle="1" w:styleId="Tableheading3">
    <w:name w:val="Table heading 3"/>
    <w:basedOn w:val="Heading5"/>
    <w:qFormat/>
    <w:rsid w:val="003715C7"/>
    <w:pPr>
      <w:keepNext w:val="0"/>
      <w:spacing w:before="20" w:after="20" w:line="240" w:lineRule="auto"/>
    </w:pPr>
    <w:rPr>
      <w:rFonts w:ascii="Calibri" w:hAnsi="Calibri" w:cs="Times New Roman"/>
      <w:b w:val="0"/>
      <w:bCs/>
      <w:noProof/>
      <w:color w:val="003E74"/>
      <w:kern w:val="0"/>
      <w:szCs w:val="26"/>
    </w:rPr>
  </w:style>
  <w:style w:type="paragraph" w:customStyle="1" w:styleId="Graphic">
    <w:name w:val="Graphic"/>
    <w:basedOn w:val="Normal"/>
    <w:qFormat/>
    <w:rsid w:val="003715C7"/>
    <w:pPr>
      <w:spacing w:after="220"/>
      <w:jc w:val="center"/>
    </w:pPr>
    <w:rPr>
      <w:rFonts w:ascii="Calibri" w:hAnsi="Calibri"/>
      <w:color w:val="000000" w:themeColor="text1"/>
      <w:sz w:val="24"/>
      <w:szCs w:val="24"/>
    </w:rPr>
  </w:style>
  <w:style w:type="character" w:styleId="Emphasis">
    <w:name w:val="Emphasis"/>
    <w:basedOn w:val="DefaultParagraphFont"/>
    <w:uiPriority w:val="20"/>
    <w:qFormat/>
    <w:rsid w:val="003715C7"/>
    <w:rPr>
      <w:i/>
      <w:iCs/>
    </w:rPr>
  </w:style>
  <w:style w:type="paragraph" w:styleId="TOC1">
    <w:name w:val="toc 1"/>
    <w:basedOn w:val="Normal"/>
    <w:next w:val="Normal"/>
    <w:autoRedefine/>
    <w:uiPriority w:val="39"/>
    <w:unhideWhenUsed/>
    <w:rsid w:val="003715C7"/>
    <w:pPr>
      <w:spacing w:before="0" w:after="100" w:line="276" w:lineRule="auto"/>
    </w:pPr>
    <w:rPr>
      <w:rFonts w:asciiTheme="minorHAnsi" w:eastAsiaTheme="minorHAnsi" w:hAnsiTheme="minorHAnsi" w:cstheme="minorBidi"/>
      <w:szCs w:val="22"/>
      <w:lang w:eastAsia="en-US"/>
    </w:rPr>
  </w:style>
  <w:style w:type="paragraph" w:styleId="TOC2">
    <w:name w:val="toc 2"/>
    <w:basedOn w:val="Normal"/>
    <w:next w:val="Normal"/>
    <w:autoRedefine/>
    <w:uiPriority w:val="39"/>
    <w:unhideWhenUsed/>
    <w:rsid w:val="00835A33"/>
    <w:pPr>
      <w:tabs>
        <w:tab w:val="right" w:leader="dot" w:pos="9346"/>
      </w:tabs>
      <w:spacing w:before="0" w:after="100" w:line="276" w:lineRule="auto"/>
    </w:pPr>
    <w:rPr>
      <w:rFonts w:asciiTheme="minorHAnsi" w:eastAsiaTheme="minorHAnsi" w:hAnsiTheme="minorHAnsi" w:cstheme="minorBidi"/>
      <w:szCs w:val="22"/>
      <w:lang w:eastAsia="en-US"/>
    </w:rPr>
  </w:style>
  <w:style w:type="paragraph" w:styleId="TOC3">
    <w:name w:val="toc 3"/>
    <w:basedOn w:val="Normal"/>
    <w:next w:val="Normal"/>
    <w:autoRedefine/>
    <w:uiPriority w:val="39"/>
    <w:unhideWhenUsed/>
    <w:rsid w:val="003715C7"/>
    <w:pPr>
      <w:spacing w:before="0" w:after="100" w:line="276" w:lineRule="auto"/>
      <w:ind w:left="440"/>
    </w:pPr>
    <w:rPr>
      <w:rFonts w:asciiTheme="minorHAnsi" w:eastAsiaTheme="minorHAnsi" w:hAnsiTheme="minorHAnsi" w:cstheme="minorBidi"/>
      <w:szCs w:val="22"/>
      <w:lang w:eastAsia="en-US"/>
    </w:rPr>
  </w:style>
  <w:style w:type="paragraph" w:styleId="TOC4">
    <w:name w:val="toc 4"/>
    <w:basedOn w:val="Normal"/>
    <w:next w:val="Normal"/>
    <w:autoRedefine/>
    <w:uiPriority w:val="39"/>
    <w:unhideWhenUsed/>
    <w:rsid w:val="003715C7"/>
    <w:pPr>
      <w:spacing w:before="0" w:after="100" w:line="276" w:lineRule="auto"/>
      <w:ind w:left="660"/>
    </w:pPr>
    <w:rPr>
      <w:rFonts w:asciiTheme="minorHAnsi" w:eastAsiaTheme="minorEastAsia" w:hAnsiTheme="minorHAnsi" w:cstheme="minorBidi"/>
      <w:szCs w:val="22"/>
    </w:rPr>
  </w:style>
  <w:style w:type="paragraph" w:styleId="TOC5">
    <w:name w:val="toc 5"/>
    <w:basedOn w:val="Normal"/>
    <w:next w:val="Normal"/>
    <w:autoRedefine/>
    <w:uiPriority w:val="39"/>
    <w:unhideWhenUsed/>
    <w:rsid w:val="003715C7"/>
    <w:pPr>
      <w:spacing w:before="0" w:after="100" w:line="276" w:lineRule="auto"/>
      <w:ind w:left="880"/>
    </w:pPr>
    <w:rPr>
      <w:rFonts w:asciiTheme="minorHAnsi" w:eastAsiaTheme="minorEastAsia" w:hAnsiTheme="minorHAnsi" w:cstheme="minorBidi"/>
      <w:szCs w:val="22"/>
    </w:rPr>
  </w:style>
  <w:style w:type="paragraph" w:styleId="TOC6">
    <w:name w:val="toc 6"/>
    <w:basedOn w:val="Normal"/>
    <w:next w:val="Normal"/>
    <w:autoRedefine/>
    <w:uiPriority w:val="39"/>
    <w:unhideWhenUsed/>
    <w:rsid w:val="003715C7"/>
    <w:pPr>
      <w:spacing w:before="0" w:after="100" w:line="276" w:lineRule="auto"/>
      <w:ind w:left="1100"/>
    </w:pPr>
    <w:rPr>
      <w:rFonts w:asciiTheme="minorHAnsi" w:eastAsiaTheme="minorEastAsia" w:hAnsiTheme="minorHAnsi" w:cstheme="minorBidi"/>
      <w:szCs w:val="22"/>
    </w:rPr>
  </w:style>
  <w:style w:type="paragraph" w:styleId="TOC7">
    <w:name w:val="toc 7"/>
    <w:basedOn w:val="Normal"/>
    <w:next w:val="Normal"/>
    <w:autoRedefine/>
    <w:uiPriority w:val="39"/>
    <w:unhideWhenUsed/>
    <w:rsid w:val="003715C7"/>
    <w:pPr>
      <w:spacing w:before="0" w:after="100" w:line="276" w:lineRule="auto"/>
      <w:ind w:left="1320"/>
    </w:pPr>
    <w:rPr>
      <w:rFonts w:asciiTheme="minorHAnsi" w:eastAsiaTheme="minorEastAsia" w:hAnsiTheme="minorHAnsi" w:cstheme="minorBidi"/>
      <w:szCs w:val="22"/>
    </w:rPr>
  </w:style>
  <w:style w:type="paragraph" w:styleId="TOC8">
    <w:name w:val="toc 8"/>
    <w:basedOn w:val="Normal"/>
    <w:next w:val="Normal"/>
    <w:autoRedefine/>
    <w:uiPriority w:val="39"/>
    <w:unhideWhenUsed/>
    <w:rsid w:val="003715C7"/>
    <w:pPr>
      <w:spacing w:before="0" w:after="100" w:line="276" w:lineRule="auto"/>
      <w:ind w:left="1540"/>
    </w:pPr>
    <w:rPr>
      <w:rFonts w:asciiTheme="minorHAnsi" w:eastAsiaTheme="minorEastAsia" w:hAnsiTheme="minorHAnsi" w:cstheme="minorBidi"/>
      <w:szCs w:val="22"/>
    </w:rPr>
  </w:style>
  <w:style w:type="paragraph" w:styleId="TOC9">
    <w:name w:val="toc 9"/>
    <w:basedOn w:val="Normal"/>
    <w:next w:val="Normal"/>
    <w:autoRedefine/>
    <w:uiPriority w:val="39"/>
    <w:unhideWhenUsed/>
    <w:rsid w:val="003715C7"/>
    <w:pPr>
      <w:spacing w:before="0" w:after="100" w:line="276" w:lineRule="auto"/>
      <w:ind w:left="1760"/>
    </w:pPr>
    <w:rPr>
      <w:rFonts w:asciiTheme="minorHAnsi" w:eastAsiaTheme="minorEastAsia" w:hAnsiTheme="minorHAnsi" w:cstheme="minorBidi"/>
      <w:szCs w:val="22"/>
    </w:rPr>
  </w:style>
  <w:style w:type="paragraph" w:customStyle="1" w:styleId="Style1">
    <w:name w:val="Style1"/>
    <w:basedOn w:val="Normal"/>
    <w:link w:val="Style1Char"/>
    <w:qFormat/>
    <w:rsid w:val="003715C7"/>
    <w:pPr>
      <w:keepNext/>
      <w:pBdr>
        <w:top w:val="single" w:sz="4" w:space="1" w:color="003E74"/>
        <w:left w:val="single" w:sz="4" w:space="4" w:color="003E74"/>
        <w:bottom w:val="single" w:sz="4" w:space="1" w:color="003E74"/>
        <w:right w:val="single" w:sz="4" w:space="4" w:color="003E74"/>
      </w:pBdr>
      <w:shd w:val="clear" w:color="auto" w:fill="FBFDFF"/>
      <w:spacing w:before="240"/>
      <w:outlineLvl w:val="3"/>
    </w:pPr>
    <w:rPr>
      <w:rFonts w:ascii="Calibri" w:hAnsi="Calibri"/>
      <w:b/>
      <w:color w:val="003E74"/>
      <w:sz w:val="24"/>
    </w:rPr>
  </w:style>
  <w:style w:type="character" w:customStyle="1" w:styleId="Style1Char">
    <w:name w:val="Style1 Char"/>
    <w:basedOn w:val="DefaultParagraphFont"/>
    <w:link w:val="Style1"/>
    <w:rsid w:val="003715C7"/>
    <w:rPr>
      <w:rFonts w:eastAsia="Times New Roman"/>
      <w:b/>
      <w:color w:val="003E74"/>
      <w:sz w:val="24"/>
      <w:shd w:val="clear" w:color="auto" w:fill="FBFDFF"/>
      <w:lang w:eastAsia="en-AU"/>
    </w:rPr>
  </w:style>
  <w:style w:type="paragraph" w:styleId="TOCHeading">
    <w:name w:val="TOC Heading"/>
    <w:basedOn w:val="Heading1"/>
    <w:next w:val="Normal"/>
    <w:uiPriority w:val="39"/>
    <w:unhideWhenUsed/>
    <w:qFormat/>
    <w:rsid w:val="003715C7"/>
    <w:pPr>
      <w:keepLines/>
      <w:spacing w:before="240" w:after="0" w:line="259" w:lineRule="auto"/>
      <w:outlineLvl w:val="9"/>
    </w:pPr>
    <w:rPr>
      <w:rFonts w:asciiTheme="majorHAnsi" w:eastAsiaTheme="majorEastAsia" w:hAnsiTheme="majorHAnsi" w:cstheme="majorBidi"/>
      <w:b w:val="0"/>
      <w:color w:val="212937" w:themeColor="accent1" w:themeShade="BF"/>
      <w:kern w:val="0"/>
      <w:sz w:val="32"/>
      <w:szCs w:val="32"/>
      <w:lang w:val="en-US" w:eastAsia="en-US"/>
    </w:rPr>
  </w:style>
  <w:style w:type="paragraph" w:styleId="EndnoteText">
    <w:name w:val="endnote text"/>
    <w:basedOn w:val="Normal"/>
    <w:link w:val="EndnoteTextChar"/>
    <w:uiPriority w:val="99"/>
    <w:semiHidden/>
    <w:unhideWhenUsed/>
    <w:rsid w:val="003715C7"/>
    <w:pPr>
      <w:spacing w:before="0" w:after="0"/>
    </w:pPr>
    <w:rPr>
      <w:rFonts w:asciiTheme="minorHAnsi" w:eastAsiaTheme="minorHAnsi" w:hAnsiTheme="minorHAnsi" w:cstheme="minorBidi"/>
      <w:sz w:val="20"/>
      <w:lang w:eastAsia="en-US"/>
    </w:rPr>
  </w:style>
  <w:style w:type="character" w:customStyle="1" w:styleId="EndnoteTextChar">
    <w:name w:val="Endnote Text Char"/>
    <w:basedOn w:val="DefaultParagraphFont"/>
    <w:link w:val="EndnoteText"/>
    <w:uiPriority w:val="99"/>
    <w:semiHidden/>
    <w:rsid w:val="003715C7"/>
    <w:rPr>
      <w:rFonts w:asciiTheme="minorHAnsi" w:hAnsiTheme="minorHAnsi" w:cstheme="minorBidi"/>
    </w:rPr>
  </w:style>
  <w:style w:type="character" w:styleId="EndnoteReference">
    <w:name w:val="endnote reference"/>
    <w:basedOn w:val="DefaultParagraphFont"/>
    <w:uiPriority w:val="99"/>
    <w:unhideWhenUsed/>
    <w:rsid w:val="003715C7"/>
    <w:rPr>
      <w:vertAlign w:val="superscript"/>
    </w:rPr>
  </w:style>
  <w:style w:type="paragraph" w:customStyle="1" w:styleId="TableText1">
    <w:name w:val="TableText"/>
    <w:basedOn w:val="Normal"/>
    <w:link w:val="TableTextChar0"/>
    <w:rsid w:val="003715C7"/>
    <w:pPr>
      <w:spacing w:before="60" w:after="60"/>
    </w:pPr>
    <w:rPr>
      <w:rFonts w:ascii="Tahoma" w:hAnsi="Tahoma"/>
      <w:sz w:val="20"/>
      <w:szCs w:val="24"/>
      <w:lang w:eastAsia="en-US"/>
    </w:rPr>
  </w:style>
  <w:style w:type="character" w:customStyle="1" w:styleId="TableTextChar0">
    <w:name w:val="TableText Char"/>
    <w:basedOn w:val="DefaultParagraphFont"/>
    <w:link w:val="TableText1"/>
    <w:locked/>
    <w:rsid w:val="003715C7"/>
    <w:rPr>
      <w:rFonts w:ascii="Tahoma" w:eastAsia="Times New Roman" w:hAnsi="Tahoma"/>
      <w:szCs w:val="24"/>
    </w:rPr>
  </w:style>
  <w:style w:type="paragraph" w:customStyle="1" w:styleId="AnnexureName">
    <w:name w:val="AnnexureName"/>
    <w:basedOn w:val="Normal"/>
    <w:next w:val="Normal"/>
    <w:rsid w:val="003715C7"/>
    <w:pPr>
      <w:keepNext/>
      <w:spacing w:before="240" w:after="0"/>
    </w:pPr>
    <w:rPr>
      <w:rFonts w:ascii="Tahoma" w:hAnsi="Tahoma"/>
      <w:sz w:val="20"/>
      <w:szCs w:val="24"/>
      <w:lang w:eastAsia="en-US"/>
    </w:rPr>
  </w:style>
  <w:style w:type="paragraph" w:customStyle="1" w:styleId="LetterBodyText">
    <w:name w:val="LetterBodyText"/>
    <w:basedOn w:val="Normal"/>
    <w:rsid w:val="003715C7"/>
    <w:pPr>
      <w:spacing w:before="240" w:after="0"/>
    </w:pPr>
    <w:rPr>
      <w:rFonts w:ascii="Tahoma" w:hAnsi="Tahoma"/>
      <w:sz w:val="20"/>
      <w:szCs w:val="24"/>
      <w:lang w:eastAsia="en-US"/>
    </w:rPr>
  </w:style>
  <w:style w:type="character" w:styleId="UnresolvedMention">
    <w:name w:val="Unresolved Mention"/>
    <w:basedOn w:val="DefaultParagraphFont"/>
    <w:uiPriority w:val="99"/>
    <w:semiHidden/>
    <w:unhideWhenUsed/>
    <w:rsid w:val="003715C7"/>
    <w:rPr>
      <w:color w:val="605E5C"/>
      <w:shd w:val="clear" w:color="auto" w:fill="E1DFDD"/>
    </w:rPr>
  </w:style>
  <w:style w:type="table" w:customStyle="1" w:styleId="TableGrid11">
    <w:name w:val="Table Grid11"/>
    <w:basedOn w:val="TableNormal"/>
    <w:next w:val="TableGrid"/>
    <w:uiPriority w:val="59"/>
    <w:rsid w:val="00F57632"/>
    <w:rPr>
      <w:rFonts w:ascii="Times New Roman" w:eastAsia="Times New Roman" w:hAnsi="Times New Roman"/>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F57632"/>
    <w:rPr>
      <w:color w:val="605E5C"/>
      <w:shd w:val="clear" w:color="auto" w:fill="E1DFDD"/>
    </w:rPr>
  </w:style>
  <w:style w:type="paragraph" w:styleId="Title">
    <w:name w:val="Title"/>
    <w:basedOn w:val="Normal"/>
    <w:next w:val="Normal"/>
    <w:link w:val="TitleChar"/>
    <w:uiPriority w:val="10"/>
    <w:qFormat/>
    <w:rsid w:val="00904C61"/>
    <w:pPr>
      <w:spacing w:before="0"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04C61"/>
    <w:rPr>
      <w:rFonts w:asciiTheme="majorHAnsi" w:eastAsiaTheme="majorEastAsia" w:hAnsiTheme="majorHAnsi" w:cstheme="majorBidi"/>
      <w:spacing w:val="-10"/>
      <w:kern w:val="28"/>
      <w:sz w:val="56"/>
      <w:szCs w:val="56"/>
      <w:lang w:eastAsia="en-AU"/>
    </w:rPr>
  </w:style>
  <w:style w:type="paragraph" w:styleId="TableofAuthorities">
    <w:name w:val="table of authorities"/>
    <w:basedOn w:val="Normal"/>
    <w:next w:val="Normal"/>
    <w:uiPriority w:val="99"/>
    <w:unhideWhenUsed/>
    <w:rsid w:val="00904C61"/>
    <w:pPr>
      <w:spacing w:before="0" w:after="0"/>
      <w:ind w:left="240" w:hanging="240"/>
    </w:pPr>
    <w:rPr>
      <w:rFonts w:ascii="Calibri" w:hAnsi="Calibri"/>
      <w:color w:val="000000" w:themeColor="text1"/>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049332">
      <w:bodyDiv w:val="1"/>
      <w:marLeft w:val="0"/>
      <w:marRight w:val="0"/>
      <w:marTop w:val="0"/>
      <w:marBottom w:val="0"/>
      <w:divBdr>
        <w:top w:val="none" w:sz="0" w:space="0" w:color="auto"/>
        <w:left w:val="none" w:sz="0" w:space="0" w:color="auto"/>
        <w:bottom w:val="none" w:sz="0" w:space="0" w:color="auto"/>
        <w:right w:val="none" w:sz="0" w:space="0" w:color="auto"/>
      </w:divBdr>
    </w:div>
    <w:div w:id="181893848">
      <w:bodyDiv w:val="1"/>
      <w:marLeft w:val="0"/>
      <w:marRight w:val="0"/>
      <w:marTop w:val="0"/>
      <w:marBottom w:val="0"/>
      <w:divBdr>
        <w:top w:val="none" w:sz="0" w:space="0" w:color="auto"/>
        <w:left w:val="none" w:sz="0" w:space="0" w:color="auto"/>
        <w:bottom w:val="none" w:sz="0" w:space="0" w:color="auto"/>
        <w:right w:val="none" w:sz="0" w:space="0" w:color="auto"/>
      </w:divBdr>
    </w:div>
    <w:div w:id="215747185">
      <w:bodyDiv w:val="1"/>
      <w:marLeft w:val="0"/>
      <w:marRight w:val="0"/>
      <w:marTop w:val="0"/>
      <w:marBottom w:val="0"/>
      <w:divBdr>
        <w:top w:val="none" w:sz="0" w:space="0" w:color="auto"/>
        <w:left w:val="none" w:sz="0" w:space="0" w:color="auto"/>
        <w:bottom w:val="none" w:sz="0" w:space="0" w:color="auto"/>
        <w:right w:val="none" w:sz="0" w:space="0" w:color="auto"/>
      </w:divBdr>
    </w:div>
    <w:div w:id="324285451">
      <w:bodyDiv w:val="1"/>
      <w:marLeft w:val="0"/>
      <w:marRight w:val="0"/>
      <w:marTop w:val="0"/>
      <w:marBottom w:val="0"/>
      <w:divBdr>
        <w:top w:val="none" w:sz="0" w:space="0" w:color="auto"/>
        <w:left w:val="none" w:sz="0" w:space="0" w:color="auto"/>
        <w:bottom w:val="none" w:sz="0" w:space="0" w:color="auto"/>
        <w:right w:val="none" w:sz="0" w:space="0" w:color="auto"/>
      </w:divBdr>
    </w:div>
    <w:div w:id="401874862">
      <w:bodyDiv w:val="1"/>
      <w:marLeft w:val="0"/>
      <w:marRight w:val="0"/>
      <w:marTop w:val="0"/>
      <w:marBottom w:val="0"/>
      <w:divBdr>
        <w:top w:val="none" w:sz="0" w:space="0" w:color="auto"/>
        <w:left w:val="none" w:sz="0" w:space="0" w:color="auto"/>
        <w:bottom w:val="none" w:sz="0" w:space="0" w:color="auto"/>
        <w:right w:val="none" w:sz="0" w:space="0" w:color="auto"/>
      </w:divBdr>
    </w:div>
    <w:div w:id="423039229">
      <w:bodyDiv w:val="1"/>
      <w:marLeft w:val="0"/>
      <w:marRight w:val="0"/>
      <w:marTop w:val="0"/>
      <w:marBottom w:val="0"/>
      <w:divBdr>
        <w:top w:val="none" w:sz="0" w:space="0" w:color="auto"/>
        <w:left w:val="none" w:sz="0" w:space="0" w:color="auto"/>
        <w:bottom w:val="none" w:sz="0" w:space="0" w:color="auto"/>
        <w:right w:val="none" w:sz="0" w:space="0" w:color="auto"/>
      </w:divBdr>
    </w:div>
    <w:div w:id="433287954">
      <w:bodyDiv w:val="1"/>
      <w:marLeft w:val="0"/>
      <w:marRight w:val="0"/>
      <w:marTop w:val="0"/>
      <w:marBottom w:val="0"/>
      <w:divBdr>
        <w:top w:val="none" w:sz="0" w:space="0" w:color="auto"/>
        <w:left w:val="none" w:sz="0" w:space="0" w:color="auto"/>
        <w:bottom w:val="none" w:sz="0" w:space="0" w:color="auto"/>
        <w:right w:val="none" w:sz="0" w:space="0" w:color="auto"/>
      </w:divBdr>
    </w:div>
    <w:div w:id="873426115">
      <w:bodyDiv w:val="1"/>
      <w:marLeft w:val="0"/>
      <w:marRight w:val="0"/>
      <w:marTop w:val="0"/>
      <w:marBottom w:val="0"/>
      <w:divBdr>
        <w:top w:val="none" w:sz="0" w:space="0" w:color="auto"/>
        <w:left w:val="none" w:sz="0" w:space="0" w:color="auto"/>
        <w:bottom w:val="none" w:sz="0" w:space="0" w:color="auto"/>
        <w:right w:val="none" w:sz="0" w:space="0" w:color="auto"/>
      </w:divBdr>
    </w:div>
    <w:div w:id="936135573">
      <w:bodyDiv w:val="1"/>
      <w:marLeft w:val="0"/>
      <w:marRight w:val="0"/>
      <w:marTop w:val="0"/>
      <w:marBottom w:val="0"/>
      <w:divBdr>
        <w:top w:val="none" w:sz="0" w:space="0" w:color="auto"/>
        <w:left w:val="none" w:sz="0" w:space="0" w:color="auto"/>
        <w:bottom w:val="none" w:sz="0" w:space="0" w:color="auto"/>
        <w:right w:val="none" w:sz="0" w:space="0" w:color="auto"/>
      </w:divBdr>
    </w:div>
    <w:div w:id="989209604">
      <w:bodyDiv w:val="1"/>
      <w:marLeft w:val="0"/>
      <w:marRight w:val="0"/>
      <w:marTop w:val="0"/>
      <w:marBottom w:val="0"/>
      <w:divBdr>
        <w:top w:val="none" w:sz="0" w:space="0" w:color="auto"/>
        <w:left w:val="none" w:sz="0" w:space="0" w:color="auto"/>
        <w:bottom w:val="none" w:sz="0" w:space="0" w:color="auto"/>
        <w:right w:val="none" w:sz="0" w:space="0" w:color="auto"/>
      </w:divBdr>
    </w:div>
    <w:div w:id="991103191">
      <w:bodyDiv w:val="1"/>
      <w:marLeft w:val="0"/>
      <w:marRight w:val="0"/>
      <w:marTop w:val="0"/>
      <w:marBottom w:val="0"/>
      <w:divBdr>
        <w:top w:val="none" w:sz="0" w:space="0" w:color="auto"/>
        <w:left w:val="none" w:sz="0" w:space="0" w:color="auto"/>
        <w:bottom w:val="none" w:sz="0" w:space="0" w:color="auto"/>
        <w:right w:val="none" w:sz="0" w:space="0" w:color="auto"/>
      </w:divBdr>
    </w:div>
    <w:div w:id="1006908061">
      <w:bodyDiv w:val="1"/>
      <w:marLeft w:val="0"/>
      <w:marRight w:val="0"/>
      <w:marTop w:val="0"/>
      <w:marBottom w:val="0"/>
      <w:divBdr>
        <w:top w:val="none" w:sz="0" w:space="0" w:color="auto"/>
        <w:left w:val="none" w:sz="0" w:space="0" w:color="auto"/>
        <w:bottom w:val="none" w:sz="0" w:space="0" w:color="auto"/>
        <w:right w:val="none" w:sz="0" w:space="0" w:color="auto"/>
      </w:divBdr>
    </w:div>
    <w:div w:id="1167748318">
      <w:bodyDiv w:val="1"/>
      <w:marLeft w:val="0"/>
      <w:marRight w:val="0"/>
      <w:marTop w:val="0"/>
      <w:marBottom w:val="0"/>
      <w:divBdr>
        <w:top w:val="none" w:sz="0" w:space="0" w:color="auto"/>
        <w:left w:val="none" w:sz="0" w:space="0" w:color="auto"/>
        <w:bottom w:val="none" w:sz="0" w:space="0" w:color="auto"/>
        <w:right w:val="none" w:sz="0" w:space="0" w:color="auto"/>
      </w:divBdr>
    </w:div>
    <w:div w:id="1748529511">
      <w:bodyDiv w:val="1"/>
      <w:marLeft w:val="0"/>
      <w:marRight w:val="0"/>
      <w:marTop w:val="0"/>
      <w:marBottom w:val="0"/>
      <w:divBdr>
        <w:top w:val="none" w:sz="0" w:space="0" w:color="auto"/>
        <w:left w:val="none" w:sz="0" w:space="0" w:color="auto"/>
        <w:bottom w:val="none" w:sz="0" w:space="0" w:color="auto"/>
        <w:right w:val="none" w:sz="0" w:space="0" w:color="auto"/>
      </w:divBdr>
    </w:div>
    <w:div w:id="1866478470">
      <w:bodyDiv w:val="1"/>
      <w:marLeft w:val="0"/>
      <w:marRight w:val="0"/>
      <w:marTop w:val="0"/>
      <w:marBottom w:val="0"/>
      <w:divBdr>
        <w:top w:val="none" w:sz="0" w:space="0" w:color="auto"/>
        <w:left w:val="none" w:sz="0" w:space="0" w:color="auto"/>
        <w:bottom w:val="none" w:sz="0" w:space="0" w:color="auto"/>
        <w:right w:val="none" w:sz="0" w:space="0" w:color="auto"/>
      </w:divBdr>
    </w:div>
    <w:div w:id="1884059170">
      <w:bodyDiv w:val="1"/>
      <w:marLeft w:val="0"/>
      <w:marRight w:val="0"/>
      <w:marTop w:val="0"/>
      <w:marBottom w:val="0"/>
      <w:divBdr>
        <w:top w:val="none" w:sz="0" w:space="0" w:color="auto"/>
        <w:left w:val="none" w:sz="0" w:space="0" w:color="auto"/>
        <w:bottom w:val="none" w:sz="0" w:space="0" w:color="auto"/>
        <w:right w:val="none" w:sz="0" w:space="0" w:color="auto"/>
      </w:divBdr>
    </w:div>
    <w:div w:id="1942638317">
      <w:bodyDiv w:val="1"/>
      <w:marLeft w:val="0"/>
      <w:marRight w:val="0"/>
      <w:marTop w:val="0"/>
      <w:marBottom w:val="0"/>
      <w:divBdr>
        <w:top w:val="none" w:sz="0" w:space="0" w:color="auto"/>
        <w:left w:val="none" w:sz="0" w:space="0" w:color="auto"/>
        <w:bottom w:val="none" w:sz="0" w:space="0" w:color="auto"/>
        <w:right w:val="none" w:sz="0" w:space="0" w:color="auto"/>
      </w:divBdr>
    </w:div>
    <w:div w:id="21116559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inance.gov.au/government/managing-commonwealth-resources/regulator-performance-rmg-128"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foreigninvestment.gov.au/"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TSYBrand">
  <a:themeElements>
    <a:clrScheme name="TSY Corporate">
      <a:dk1>
        <a:sysClr val="windowText" lastClr="000000"/>
      </a:dk1>
      <a:lt1>
        <a:sysClr val="window" lastClr="FFFFFF"/>
      </a:lt1>
      <a:dk2>
        <a:srgbClr val="5F5F5F"/>
      </a:dk2>
      <a:lt2>
        <a:srgbClr val="EEEEEE"/>
      </a:lt2>
      <a:accent1>
        <a:srgbClr val="2C384A"/>
      </a:accent1>
      <a:accent2>
        <a:srgbClr val="4D7861"/>
      </a:accent2>
      <a:accent3>
        <a:srgbClr val="5D779D"/>
      </a:accent3>
      <a:accent4>
        <a:srgbClr val="B1F0CF"/>
      </a:accent4>
      <a:accent5>
        <a:srgbClr val="90B6F0"/>
      </a:accent5>
      <a:accent6>
        <a:srgbClr val="F0AE81"/>
      </a:accent6>
      <a:hlink>
        <a:srgbClr val="3A6FAF"/>
      </a:hlink>
      <a:folHlink>
        <a:srgbClr val="844D9E"/>
      </a:folHlink>
    </a:clrScheme>
    <a:fontScheme name="Custom 1">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D67944-D266-4CF2-9A03-61056FD234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2468</Words>
  <Characters>14072</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Guidance Note 11: Protecting the National Interest – Guiding principles for developing conditions</vt:lpstr>
    </vt:vector>
  </TitlesOfParts>
  <Company/>
  <LinksUpToDate>false</LinksUpToDate>
  <CharactersWithSpaces>16507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Guidance Note 11: Protecting the National Interest – Guiding principles for developing conditions</dc:title>
  <dc:subject/>
  <dc:creator/>
  <cp:keywords/>
  <dc:description/>
  <cp:lastModifiedBy/>
  <cp:revision>1</cp:revision>
  <dcterms:created xsi:type="dcterms:W3CDTF">2023-07-17T01:35:00Z</dcterms:created>
  <dcterms:modified xsi:type="dcterms:W3CDTF">2023-07-17T01:36:00Z</dcterms:modified>
  <cp:category/>
</cp:coreProperties>
</file>