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6436" w14:textId="562BAF7E" w:rsidR="00986A46" w:rsidRPr="006E76BE" w:rsidRDefault="00241A2C" w:rsidP="0015143F">
      <w:pPr>
        <w:pStyle w:val="Factsheettitle"/>
        <w:spacing w:before="1080" w:after="360"/>
      </w:pPr>
      <w:r w:rsidRPr="00241A2C">
        <w:t>Your compliance obligations under the</w:t>
      </w:r>
      <w:r>
        <w:rPr>
          <w:b/>
        </w:rPr>
        <w:t xml:space="preserve"> </w:t>
      </w:r>
      <w:r w:rsidRPr="00386CA2">
        <w:rPr>
          <w:i/>
          <w:iCs/>
        </w:rPr>
        <w:t>Foreign Acquisitions and Takeovers Act 1975</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0AD7A109" w14:textId="77777777" w:rsidTr="00FC2E34">
        <w:tc>
          <w:tcPr>
            <w:tcW w:w="8498" w:type="dxa"/>
            <w:shd w:val="clear" w:color="auto" w:fill="auto"/>
          </w:tcPr>
          <w:p w14:paraId="7FE838CA" w14:textId="77548F11" w:rsidR="008518C9" w:rsidRPr="00E847A7" w:rsidRDefault="006C7ABB" w:rsidP="000F5D59">
            <w:pPr>
              <w:pStyle w:val="Introtext"/>
              <w:spacing w:after="120"/>
            </w:pPr>
            <w:r w:rsidRPr="00F00A9F">
              <w:t xml:space="preserve">Last updated: </w:t>
            </w:r>
            <w:r w:rsidR="00F00A9F" w:rsidRPr="00F00A9F">
              <w:t>20</w:t>
            </w:r>
            <w:r w:rsidR="00F63511" w:rsidRPr="00F00A9F">
              <w:t xml:space="preserve"> J</w:t>
            </w:r>
            <w:r w:rsidR="00B53A17" w:rsidRPr="00F00A9F">
              <w:t>u</w:t>
            </w:r>
            <w:r w:rsidR="0015143F" w:rsidRPr="00F00A9F">
              <w:t>ne</w:t>
            </w:r>
            <w:r w:rsidR="00B53A17" w:rsidRPr="00F00A9F">
              <w:t xml:space="preserve"> 202</w:t>
            </w:r>
            <w:r w:rsidR="0015143F" w:rsidRPr="00F00A9F">
              <w:t>3</w:t>
            </w:r>
          </w:p>
        </w:tc>
      </w:tr>
    </w:tbl>
    <w:p w14:paraId="44960BE2" w14:textId="77777777" w:rsidR="00406DB4" w:rsidRDefault="00406DB4" w:rsidP="00A66EB6">
      <w:bookmarkStart w:id="0" w:name="_Toc75967410"/>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8504"/>
      </w:tblGrid>
      <w:tr w:rsidR="00FA3D7F" w14:paraId="7B7F8FD2" w14:textId="77777777" w:rsidTr="00653877">
        <w:tc>
          <w:tcPr>
            <w:tcW w:w="5000" w:type="pct"/>
            <w:shd w:val="clear" w:color="auto" w:fill="F2F9FC"/>
          </w:tcPr>
          <w:p w14:paraId="1676D7CE" w14:textId="32035C87" w:rsidR="00FA3D7F" w:rsidRPr="0090719E" w:rsidRDefault="00557817" w:rsidP="00653877">
            <w:pPr>
              <w:pStyle w:val="BoxHeading"/>
              <w:rPr>
                <w:szCs w:val="28"/>
              </w:rPr>
            </w:pPr>
            <w:r w:rsidRPr="00557817">
              <w:t>Treasurer’s message</w:t>
            </w:r>
          </w:p>
          <w:p w14:paraId="1B9D1281" w14:textId="0D2E7FCF" w:rsidR="006C287E" w:rsidRPr="006C287E" w:rsidRDefault="006D354F" w:rsidP="006C287E">
            <w:pPr>
              <w:pStyle w:val="BoxHeading"/>
              <w:rPr>
                <w:b w:val="0"/>
                <w:color w:val="auto"/>
                <w:sz w:val="22"/>
                <w:szCs w:val="20"/>
              </w:rPr>
            </w:pPr>
            <w:r>
              <w:rPr>
                <w:b w:val="0"/>
                <w:noProof/>
                <w:color w:val="auto"/>
                <w:sz w:val="22"/>
                <w:szCs w:val="20"/>
              </w:rPr>
              <w:drawing>
                <wp:anchor distT="0" distB="0" distL="114300" distR="114300" simplePos="0" relativeHeight="251660288" behindDoc="1" locked="0" layoutInCell="1" allowOverlap="1" wp14:anchorId="4BE9F24E" wp14:editId="005F2E79">
                  <wp:simplePos x="0" y="0"/>
                  <wp:positionH relativeFrom="column">
                    <wp:posOffset>635</wp:posOffset>
                  </wp:positionH>
                  <wp:positionV relativeFrom="paragraph">
                    <wp:posOffset>78740</wp:posOffset>
                  </wp:positionV>
                  <wp:extent cx="1704340" cy="308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04340" cy="3088005"/>
                          </a:xfrm>
                          <a:prstGeom prst="rect">
                            <a:avLst/>
                          </a:prstGeom>
                        </pic:spPr>
                      </pic:pic>
                    </a:graphicData>
                  </a:graphic>
                  <wp14:sizeRelH relativeFrom="page">
                    <wp14:pctWidth>0</wp14:pctWidth>
                  </wp14:sizeRelH>
                  <wp14:sizeRelV relativeFrom="page">
                    <wp14:pctHeight>0</wp14:pctHeight>
                  </wp14:sizeRelV>
                </wp:anchor>
              </w:drawing>
            </w:r>
            <w:r w:rsidR="006C287E" w:rsidRPr="006C287E">
              <w:rPr>
                <w:b w:val="0"/>
                <w:color w:val="auto"/>
                <w:sz w:val="22"/>
                <w:szCs w:val="20"/>
              </w:rPr>
              <w:t>Maintaining strong compliance with Australia’s foreign investment legislation is a priority for the Australian Government. I expect all foreign investors are aware of, understand and comply with their obligations under Australian law, including</w:t>
            </w:r>
          </w:p>
          <w:p w14:paraId="73DB9748" w14:textId="77777777" w:rsidR="006C287E" w:rsidRPr="006C287E" w:rsidRDefault="006C287E" w:rsidP="006C287E">
            <w:pPr>
              <w:pStyle w:val="BoxHeading"/>
              <w:rPr>
                <w:b w:val="0"/>
                <w:color w:val="auto"/>
                <w:sz w:val="22"/>
                <w:szCs w:val="20"/>
              </w:rPr>
            </w:pPr>
            <w:r w:rsidRPr="006C287E">
              <w:rPr>
                <w:b w:val="0"/>
                <w:color w:val="auto"/>
                <w:sz w:val="22"/>
                <w:szCs w:val="20"/>
              </w:rPr>
              <w:t>Australia’s foreign investment laws.</w:t>
            </w:r>
          </w:p>
          <w:p w14:paraId="4A479CBE" w14:textId="77777777" w:rsidR="006C287E" w:rsidRPr="006C287E" w:rsidRDefault="006C287E" w:rsidP="006C287E">
            <w:pPr>
              <w:pStyle w:val="BoxHeading"/>
              <w:rPr>
                <w:b w:val="0"/>
                <w:color w:val="auto"/>
                <w:sz w:val="22"/>
                <w:szCs w:val="20"/>
              </w:rPr>
            </w:pPr>
            <w:r w:rsidRPr="006C287E">
              <w:rPr>
                <w:b w:val="0"/>
                <w:color w:val="auto"/>
                <w:sz w:val="22"/>
                <w:szCs w:val="20"/>
              </w:rPr>
              <w:t>We take a risk-based, proportionate, and professional approach when assessing compliance with Australia’s foreign investment laws and when responding to non- compliance. I strongly encourage you to disclose any non-compliance with your obligations.</w:t>
            </w:r>
          </w:p>
          <w:p w14:paraId="3CA30519" w14:textId="77777777" w:rsidR="006C287E" w:rsidRDefault="006C287E" w:rsidP="006C287E">
            <w:pPr>
              <w:pStyle w:val="BoxHeading"/>
              <w:rPr>
                <w:b w:val="0"/>
                <w:color w:val="auto"/>
                <w:sz w:val="22"/>
                <w:szCs w:val="20"/>
              </w:rPr>
            </w:pPr>
            <w:r w:rsidRPr="006C287E">
              <w:rPr>
                <w:b w:val="0"/>
                <w:color w:val="auto"/>
                <w:sz w:val="22"/>
                <w:szCs w:val="20"/>
              </w:rPr>
              <w:t>Failure to comply with these laws is a serious matter, can result in imprisonment and/or significant monetary penalties and can be considered in your future interactions with Government.</w:t>
            </w:r>
          </w:p>
          <w:p w14:paraId="050A698A" w14:textId="1A1DE166" w:rsidR="00FA3D7F" w:rsidRPr="00BA123B" w:rsidRDefault="006C287E" w:rsidP="006C287E">
            <w:pPr>
              <w:pStyle w:val="BoxHeading"/>
            </w:pPr>
            <w:r w:rsidRPr="006C287E">
              <w:rPr>
                <w:b w:val="0"/>
                <w:color w:val="auto"/>
                <w:sz w:val="22"/>
                <w:szCs w:val="20"/>
              </w:rPr>
              <w:t>The Hon Jim Chalmers MP</w:t>
            </w:r>
            <w:r>
              <w:rPr>
                <w:b w:val="0"/>
                <w:color w:val="auto"/>
                <w:sz w:val="22"/>
                <w:szCs w:val="20"/>
              </w:rPr>
              <w:br/>
            </w:r>
            <w:r w:rsidRPr="006C287E">
              <w:rPr>
                <w:b w:val="0"/>
                <w:color w:val="auto"/>
                <w:sz w:val="22"/>
                <w:szCs w:val="20"/>
              </w:rPr>
              <w:t>Treasurer</w:t>
            </w:r>
          </w:p>
        </w:tc>
      </w:tr>
    </w:tbl>
    <w:p w14:paraId="3DDD62E9" w14:textId="77777777" w:rsidR="00BC7D68" w:rsidRDefault="00BC7D68" w:rsidP="009E5BCF">
      <w:pPr>
        <w:pStyle w:val="Heading1"/>
      </w:pPr>
    </w:p>
    <w:p w14:paraId="3242494D" w14:textId="77777777" w:rsidR="00BC7D68" w:rsidRDefault="00BC7D68">
      <w:pPr>
        <w:spacing w:before="0" w:after="0"/>
        <w:rPr>
          <w:rFonts w:ascii="Calibri" w:hAnsi="Calibri" w:cs="Arial"/>
          <w:b/>
          <w:color w:val="5D779D" w:themeColor="accent3"/>
          <w:kern w:val="32"/>
          <w:sz w:val="44"/>
          <w:szCs w:val="36"/>
        </w:rPr>
      </w:pPr>
      <w:r>
        <w:br w:type="page"/>
      </w:r>
    </w:p>
    <w:p w14:paraId="29DADE1A" w14:textId="71284DEC" w:rsidR="009E5BCF" w:rsidRPr="009E5BCF" w:rsidRDefault="009E5BCF" w:rsidP="009E5BCF">
      <w:pPr>
        <w:pStyle w:val="Heading1"/>
      </w:pPr>
      <w:r w:rsidRPr="009E5BCF">
        <w:lastRenderedPageBreak/>
        <w:t>Your obligations</w:t>
      </w:r>
    </w:p>
    <w:p w14:paraId="4C8749B6" w14:textId="77777777" w:rsidR="009E5BCF" w:rsidRDefault="009E5BCF" w:rsidP="009E5BCF">
      <w:r>
        <w:t>As a foreign investor, it is your responsibility to ensure</w:t>
      </w:r>
      <w:r>
        <w:rPr>
          <w:spacing w:val="-39"/>
        </w:rPr>
        <w:t xml:space="preserve"> </w:t>
      </w:r>
      <w:r>
        <w:t>that you understand and comply with your obligations</w:t>
      </w:r>
      <w:r>
        <w:rPr>
          <w:spacing w:val="-38"/>
        </w:rPr>
        <w:t xml:space="preserve"> </w:t>
      </w:r>
      <w:r>
        <w:t>regarding</w:t>
      </w:r>
      <w:r>
        <w:rPr>
          <w:spacing w:val="-3"/>
        </w:rPr>
        <w:t xml:space="preserve"> </w:t>
      </w:r>
      <w:r>
        <w:t>Australia’s</w:t>
      </w:r>
      <w:r>
        <w:rPr>
          <w:spacing w:val="-3"/>
        </w:rPr>
        <w:t xml:space="preserve"> </w:t>
      </w:r>
      <w:r>
        <w:t>foreign</w:t>
      </w:r>
      <w:r>
        <w:rPr>
          <w:spacing w:val="-3"/>
        </w:rPr>
        <w:t xml:space="preserve"> </w:t>
      </w:r>
      <w:r>
        <w:t>investment</w:t>
      </w:r>
      <w:r>
        <w:rPr>
          <w:spacing w:val="-3"/>
        </w:rPr>
        <w:t xml:space="preserve"> </w:t>
      </w:r>
      <w:r>
        <w:t>framework.</w:t>
      </w:r>
    </w:p>
    <w:p w14:paraId="7D23A2C8" w14:textId="77777777" w:rsidR="009E5BCF" w:rsidRDefault="009E5BCF" w:rsidP="009E5BCF">
      <w:r>
        <w:t>You must comply with the conditions imposed on a No</w:t>
      </w:r>
      <w:r>
        <w:rPr>
          <w:spacing w:val="1"/>
        </w:rPr>
        <w:t xml:space="preserve"> </w:t>
      </w:r>
      <w:r>
        <w:t>Objection Notification (NON) or an Exemption</w:t>
      </w:r>
      <w:r>
        <w:rPr>
          <w:spacing w:val="1"/>
        </w:rPr>
        <w:t xml:space="preserve"> </w:t>
      </w:r>
      <w:r>
        <w:t>Certificate</w:t>
      </w:r>
      <w:r>
        <w:rPr>
          <w:spacing w:val="-6"/>
        </w:rPr>
        <w:t xml:space="preserve"> </w:t>
      </w:r>
      <w:r>
        <w:t>(EC).</w:t>
      </w:r>
      <w:r>
        <w:rPr>
          <w:spacing w:val="-5"/>
        </w:rPr>
        <w:t xml:space="preserve"> </w:t>
      </w:r>
      <w:r>
        <w:t>The</w:t>
      </w:r>
      <w:r>
        <w:rPr>
          <w:spacing w:val="-5"/>
        </w:rPr>
        <w:t xml:space="preserve"> </w:t>
      </w:r>
      <w:r w:rsidRPr="003A3A7B">
        <w:rPr>
          <w:i/>
          <w:iCs/>
        </w:rPr>
        <w:t>Foreign</w:t>
      </w:r>
      <w:r w:rsidRPr="003A3A7B">
        <w:rPr>
          <w:i/>
          <w:iCs/>
          <w:spacing w:val="-4"/>
        </w:rPr>
        <w:t xml:space="preserve"> </w:t>
      </w:r>
      <w:r w:rsidRPr="003A3A7B">
        <w:rPr>
          <w:i/>
          <w:iCs/>
        </w:rPr>
        <w:t>Acquisitions</w:t>
      </w:r>
      <w:r w:rsidRPr="003A3A7B">
        <w:rPr>
          <w:i/>
          <w:iCs/>
          <w:spacing w:val="-5"/>
        </w:rPr>
        <w:t xml:space="preserve"> </w:t>
      </w:r>
      <w:r w:rsidRPr="003A3A7B">
        <w:rPr>
          <w:i/>
          <w:iCs/>
        </w:rPr>
        <w:t>and</w:t>
      </w:r>
      <w:r w:rsidRPr="003A3A7B">
        <w:rPr>
          <w:i/>
          <w:iCs/>
          <w:spacing w:val="-4"/>
        </w:rPr>
        <w:t xml:space="preserve"> </w:t>
      </w:r>
      <w:r w:rsidRPr="003A3A7B">
        <w:rPr>
          <w:i/>
          <w:iCs/>
        </w:rPr>
        <w:t>Takeovers</w:t>
      </w:r>
      <w:r w:rsidRPr="003A3A7B">
        <w:rPr>
          <w:i/>
          <w:iCs/>
          <w:spacing w:val="-38"/>
        </w:rPr>
        <w:t xml:space="preserve"> </w:t>
      </w:r>
      <w:r w:rsidRPr="003A3A7B">
        <w:rPr>
          <w:i/>
          <w:iCs/>
        </w:rPr>
        <w:t>Act 1975</w:t>
      </w:r>
      <w:r>
        <w:t xml:space="preserve"> (the Act) also requires you to report to the</w:t>
      </w:r>
      <w:r>
        <w:rPr>
          <w:spacing w:val="1"/>
        </w:rPr>
        <w:t xml:space="preserve"> </w:t>
      </w:r>
      <w:r>
        <w:t>Treasurer</w:t>
      </w:r>
      <w:r>
        <w:rPr>
          <w:spacing w:val="-1"/>
        </w:rPr>
        <w:t xml:space="preserve"> </w:t>
      </w:r>
      <w:r>
        <w:t>when certain</w:t>
      </w:r>
      <w:r>
        <w:rPr>
          <w:spacing w:val="-1"/>
        </w:rPr>
        <w:t xml:space="preserve"> </w:t>
      </w:r>
      <w:r>
        <w:t>events occur.</w:t>
      </w:r>
    </w:p>
    <w:p w14:paraId="5B28C06D" w14:textId="77777777" w:rsidR="009E5BCF" w:rsidRDefault="009E5BCF" w:rsidP="009E5BCF">
      <w:r>
        <w:t>Failure to comply is a serious matter and our response</w:t>
      </w:r>
      <w:r>
        <w:rPr>
          <w:spacing w:val="1"/>
        </w:rPr>
        <w:t xml:space="preserve"> </w:t>
      </w:r>
      <w:r>
        <w:t>will be proportionate. For a corporation, this may range</w:t>
      </w:r>
      <w:r>
        <w:rPr>
          <w:spacing w:val="1"/>
        </w:rPr>
        <w:t xml:space="preserve"> </w:t>
      </w:r>
      <w:r>
        <w:t>from administrative action to penalties over $30 million,</w:t>
      </w:r>
      <w:r>
        <w:rPr>
          <w:spacing w:val="-39"/>
        </w:rPr>
        <w:t xml:space="preserve"> </w:t>
      </w:r>
      <w:r>
        <w:t>10</w:t>
      </w:r>
      <w:r>
        <w:rPr>
          <w:spacing w:val="-1"/>
        </w:rPr>
        <w:t xml:space="preserve"> </w:t>
      </w:r>
      <w:r>
        <w:t>years imprisonment,</w:t>
      </w:r>
      <w:r>
        <w:rPr>
          <w:spacing w:val="-1"/>
        </w:rPr>
        <w:t xml:space="preserve"> </w:t>
      </w:r>
      <w:r>
        <w:t>or</w:t>
      </w:r>
      <w:r>
        <w:rPr>
          <w:spacing w:val="-1"/>
        </w:rPr>
        <w:t xml:space="preserve"> </w:t>
      </w:r>
      <w:r>
        <w:t>both.</w:t>
      </w:r>
    </w:p>
    <w:p w14:paraId="456AF37C" w14:textId="77777777" w:rsidR="009E5BCF" w:rsidRPr="009E5BCF" w:rsidRDefault="009E5BCF" w:rsidP="009E5BCF">
      <w:pPr>
        <w:pStyle w:val="Heading1"/>
      </w:pPr>
      <w:r w:rsidRPr="009E5BCF">
        <w:t>Compliance with conditions</w:t>
      </w:r>
    </w:p>
    <w:p w14:paraId="330BA660" w14:textId="77777777" w:rsidR="009E5BCF" w:rsidRDefault="009E5BCF" w:rsidP="009E5BCF">
      <w:r>
        <w:t>Any</w:t>
      </w:r>
      <w:r>
        <w:rPr>
          <w:spacing w:val="-2"/>
        </w:rPr>
        <w:t xml:space="preserve"> </w:t>
      </w:r>
      <w:r>
        <w:t>conditions</w:t>
      </w:r>
      <w:r>
        <w:rPr>
          <w:spacing w:val="-3"/>
        </w:rPr>
        <w:t xml:space="preserve"> </w:t>
      </w:r>
      <w:r>
        <w:t>on</w:t>
      </w:r>
      <w:r>
        <w:rPr>
          <w:spacing w:val="-2"/>
        </w:rPr>
        <w:t xml:space="preserve"> </w:t>
      </w:r>
      <w:r>
        <w:t>your</w:t>
      </w:r>
      <w:r>
        <w:rPr>
          <w:spacing w:val="-2"/>
        </w:rPr>
        <w:t xml:space="preserve"> </w:t>
      </w:r>
      <w:r>
        <w:t>NON</w:t>
      </w:r>
      <w:r>
        <w:rPr>
          <w:spacing w:val="-2"/>
        </w:rPr>
        <w:t xml:space="preserve"> </w:t>
      </w:r>
      <w:r>
        <w:t>or</w:t>
      </w:r>
      <w:r>
        <w:rPr>
          <w:spacing w:val="-4"/>
        </w:rPr>
        <w:t xml:space="preserve"> </w:t>
      </w:r>
      <w:r>
        <w:t>EC</w:t>
      </w:r>
      <w:r>
        <w:rPr>
          <w:spacing w:val="-2"/>
        </w:rPr>
        <w:t xml:space="preserve"> </w:t>
      </w:r>
      <w:r>
        <w:t>have</w:t>
      </w:r>
      <w:r>
        <w:rPr>
          <w:spacing w:val="-2"/>
        </w:rPr>
        <w:t xml:space="preserve"> </w:t>
      </w:r>
      <w:r>
        <w:t>been</w:t>
      </w:r>
      <w:r>
        <w:rPr>
          <w:spacing w:val="-2"/>
        </w:rPr>
        <w:t xml:space="preserve"> </w:t>
      </w:r>
      <w:r>
        <w:t>imposed</w:t>
      </w:r>
      <w:r>
        <w:rPr>
          <w:spacing w:val="-37"/>
        </w:rPr>
        <w:t xml:space="preserve"> </w:t>
      </w:r>
      <w:r>
        <w:t>to manage the national interest or national security</w:t>
      </w:r>
      <w:r>
        <w:rPr>
          <w:spacing w:val="1"/>
        </w:rPr>
        <w:t xml:space="preserve"> </w:t>
      </w:r>
      <w:r>
        <w:t>risks</w:t>
      </w:r>
      <w:r>
        <w:rPr>
          <w:spacing w:val="-1"/>
        </w:rPr>
        <w:t xml:space="preserve"> </w:t>
      </w:r>
      <w:r>
        <w:t>associated</w:t>
      </w:r>
      <w:r>
        <w:rPr>
          <w:spacing w:val="-1"/>
        </w:rPr>
        <w:t xml:space="preserve"> </w:t>
      </w:r>
      <w:r>
        <w:t>with</w:t>
      </w:r>
      <w:r>
        <w:rPr>
          <w:spacing w:val="-2"/>
        </w:rPr>
        <w:t xml:space="preserve"> </w:t>
      </w:r>
      <w:r>
        <w:t>the</w:t>
      </w:r>
      <w:r>
        <w:rPr>
          <w:spacing w:val="-1"/>
        </w:rPr>
        <w:t xml:space="preserve"> </w:t>
      </w:r>
      <w:r>
        <w:t>investment.</w:t>
      </w:r>
    </w:p>
    <w:p w14:paraId="60FA91E8" w14:textId="4279AE9E" w:rsidR="009E5BCF" w:rsidRDefault="009E5BCF" w:rsidP="009E5BCF">
      <w:r>
        <w:t>Some conditions require you to report to the Treasury</w:t>
      </w:r>
      <w:r>
        <w:rPr>
          <w:spacing w:val="1"/>
        </w:rPr>
        <w:t xml:space="preserve"> </w:t>
      </w:r>
      <w:r>
        <w:t>on certain matters, including your compliance with</w:t>
      </w:r>
      <w:r>
        <w:rPr>
          <w:spacing w:val="1"/>
        </w:rPr>
        <w:t xml:space="preserve"> </w:t>
      </w:r>
      <w:r>
        <w:t>conditions. These reports should be submitted by the</w:t>
      </w:r>
      <w:r>
        <w:rPr>
          <w:spacing w:val="1"/>
        </w:rPr>
        <w:t xml:space="preserve"> </w:t>
      </w:r>
      <w:r>
        <w:t>date and method (for example, email address) specified</w:t>
      </w:r>
      <w:r>
        <w:rPr>
          <w:spacing w:val="-39"/>
        </w:rPr>
        <w:t xml:space="preserve"> </w:t>
      </w:r>
      <w:r>
        <w:t>in the conditions. If the conditions do not specify a</w:t>
      </w:r>
      <w:r>
        <w:rPr>
          <w:spacing w:val="1"/>
        </w:rPr>
        <w:t xml:space="preserve"> </w:t>
      </w:r>
      <w:r>
        <w:t>method, please email the compliance report to</w:t>
      </w:r>
      <w:r>
        <w:rPr>
          <w:spacing w:val="1"/>
        </w:rPr>
        <w:t xml:space="preserve"> </w:t>
      </w:r>
      <w:r w:rsidR="00C46281" w:rsidRPr="002156B0">
        <w:rPr>
          <w:rFonts w:eastAsiaTheme="minorHAnsi"/>
          <w:color w:val="5D779D"/>
          <w:lang w:eastAsia="en-US"/>
        </w:rPr>
        <w:t>foreigninvestmentcompliance@treasury.gov.au</w:t>
      </w:r>
      <w:r>
        <w:t>.</w:t>
      </w:r>
    </w:p>
    <w:p w14:paraId="5EE5470F" w14:textId="77777777" w:rsidR="009E5BCF" w:rsidRPr="00961142" w:rsidRDefault="009E5BCF" w:rsidP="009E5BCF">
      <w:pPr>
        <w:rPr>
          <w:rFonts w:eastAsia="Calibri Light"/>
        </w:rPr>
      </w:pPr>
      <w:r w:rsidRPr="00961142">
        <w:rPr>
          <w:rFonts w:eastAsia="Calibri Light"/>
        </w:rPr>
        <w:t xml:space="preserve">Some conditions also require you to make ‘best </w:t>
      </w:r>
      <w:proofErr w:type="gramStart"/>
      <w:r w:rsidRPr="00961142">
        <w:rPr>
          <w:rFonts w:eastAsia="Calibri Light"/>
        </w:rPr>
        <w:t>endeavours</w:t>
      </w:r>
      <w:r>
        <w:t>’</w:t>
      </w:r>
      <w:proofErr w:type="gramEnd"/>
      <w:r w:rsidRPr="00961142">
        <w:rPr>
          <w:rFonts w:eastAsia="Calibri Light"/>
        </w:rPr>
        <w:t xml:space="preserve">. What is reasonable depends on your circumstances. However, it is a high standard, and involves a degree of </w:t>
      </w:r>
      <w:r>
        <w:t>ongoing activity and effort</w:t>
      </w:r>
      <w:r w:rsidRPr="00961142">
        <w:rPr>
          <w:rFonts w:eastAsia="Calibri Light"/>
        </w:rPr>
        <w:t>, and may include you incurring some cost.</w:t>
      </w:r>
    </w:p>
    <w:p w14:paraId="1CE3FCA4" w14:textId="77777777" w:rsidR="009E5BCF" w:rsidRPr="009E5BCF" w:rsidRDefault="009E5BCF" w:rsidP="009E5BCF">
      <w:pPr>
        <w:pStyle w:val="Heading1"/>
      </w:pPr>
      <w:r w:rsidRPr="009E5BCF">
        <w:t>Notifying of actions</w:t>
      </w:r>
    </w:p>
    <w:p w14:paraId="715FF285" w14:textId="77777777" w:rsidR="009E5BCF" w:rsidRDefault="009E5BCF" w:rsidP="009E5BCF">
      <w:r>
        <w:t>You are required to notify the Australian Government of actions specified in a NON or EC. However, the process for notification will be changing.</w:t>
      </w:r>
    </w:p>
    <w:p w14:paraId="08E7DB72" w14:textId="4CB09C3D" w:rsidR="009E5BCF" w:rsidRDefault="009E5BCF" w:rsidP="009E5BCF">
      <w:r>
        <w:t xml:space="preserve">From 1 July 2023, </w:t>
      </w:r>
      <w:r>
        <w:rPr>
          <w:b/>
          <w:bCs/>
        </w:rPr>
        <w:t xml:space="preserve">most </w:t>
      </w:r>
      <w:r>
        <w:t xml:space="preserve">actions must be reported using the Register of Foreign Ownership of Australian Assets (the Register). The Register is administered by the Australia Taxation Office (ATO). If you are required to report to the Register, you must notify by accessing the ATO’s new </w:t>
      </w:r>
      <w:r w:rsidRPr="00653877">
        <w:t>Online services for foreign investors (</w:t>
      </w:r>
      <w:hyperlink r:id="rId14" w:history="1">
        <w:r w:rsidRPr="00515393">
          <w:rPr>
            <w:rStyle w:val="Hyperlink"/>
          </w:rPr>
          <w:t>ato.gov.au/general/online-services/foreign-investors/online-services-for-foreign-investors</w:t>
        </w:r>
      </w:hyperlink>
      <w:r>
        <w:t>).</w:t>
      </w:r>
    </w:p>
    <w:p w14:paraId="200E7D2D" w14:textId="053C53A5" w:rsidR="00755696" w:rsidRPr="00BB7545" w:rsidRDefault="009E5BCF" w:rsidP="00755696">
      <w:r>
        <w:t xml:space="preserve">If you are </w:t>
      </w:r>
      <w:r w:rsidRPr="00691CC3">
        <w:rPr>
          <w:b/>
          <w:bCs/>
        </w:rPr>
        <w:t>not required</w:t>
      </w:r>
      <w:r>
        <w:t xml:space="preserve"> to report to the Register, you may still have obligations under s 98C, 98D and 98E of the Act. These notifications are made to the Treasurer. You can notify by following these steps </w:t>
      </w:r>
      <w:r w:rsidR="00DB248B">
        <w:t xml:space="preserve">on </w:t>
      </w:r>
      <w:hyperlink r:id="rId15" w:history="1">
        <w:r w:rsidR="00A461D5" w:rsidRPr="00A461D5">
          <w:rPr>
            <w:rStyle w:val="Hyperlink"/>
          </w:rPr>
          <w:t>Notifications of actions</w:t>
        </w:r>
      </w:hyperlink>
      <w:r w:rsidR="00A461D5">
        <w:t xml:space="preserve"> on our website.</w:t>
      </w:r>
      <w:r w:rsidR="00755696">
        <w:t xml:space="preserve"> You must still meet all requirements within the Act, including notifying within prescribed timeframes.</w:t>
      </w:r>
    </w:p>
    <w:p w14:paraId="50BE10B0" w14:textId="77777777" w:rsidR="00EA43EC" w:rsidRPr="00EA43EC" w:rsidRDefault="00EA43EC" w:rsidP="00EA43EC">
      <w:pPr>
        <w:pStyle w:val="Heading1"/>
      </w:pPr>
      <w:r w:rsidRPr="00EA43EC">
        <w:t>Actions not covered in a NON or EC</w:t>
      </w:r>
    </w:p>
    <w:p w14:paraId="26931159" w14:textId="77777777" w:rsidR="00EA43EC" w:rsidRDefault="00EA43EC" w:rsidP="00EA43EC">
      <w:r>
        <w:t>A</w:t>
      </w:r>
      <w:r>
        <w:rPr>
          <w:spacing w:val="-3"/>
        </w:rPr>
        <w:t xml:space="preserve"> </w:t>
      </w:r>
      <w:r>
        <w:t>NON</w:t>
      </w:r>
      <w:r>
        <w:rPr>
          <w:spacing w:val="-2"/>
        </w:rPr>
        <w:t xml:space="preserve"> </w:t>
      </w:r>
      <w:r>
        <w:t>or</w:t>
      </w:r>
      <w:r>
        <w:rPr>
          <w:spacing w:val="-3"/>
        </w:rPr>
        <w:t xml:space="preserve"> </w:t>
      </w:r>
      <w:r>
        <w:t>EC</w:t>
      </w:r>
      <w:r>
        <w:rPr>
          <w:spacing w:val="-3"/>
        </w:rPr>
        <w:t xml:space="preserve"> </w:t>
      </w:r>
      <w:r>
        <w:t>relates</w:t>
      </w:r>
      <w:r>
        <w:rPr>
          <w:spacing w:val="-3"/>
        </w:rPr>
        <w:t xml:space="preserve"> </w:t>
      </w:r>
      <w:r>
        <w:t>only</w:t>
      </w:r>
      <w:r>
        <w:rPr>
          <w:spacing w:val="-5"/>
        </w:rPr>
        <w:t xml:space="preserve"> </w:t>
      </w:r>
      <w:r>
        <w:t>to</w:t>
      </w:r>
      <w:r>
        <w:rPr>
          <w:spacing w:val="-3"/>
        </w:rPr>
        <w:t xml:space="preserve"> </w:t>
      </w:r>
      <w:r>
        <w:t>the</w:t>
      </w:r>
      <w:r>
        <w:rPr>
          <w:spacing w:val="-2"/>
        </w:rPr>
        <w:t xml:space="preserve"> </w:t>
      </w:r>
      <w:r>
        <w:t>specified</w:t>
      </w:r>
      <w:r>
        <w:rPr>
          <w:spacing w:val="-2"/>
        </w:rPr>
        <w:t xml:space="preserve"> </w:t>
      </w:r>
      <w:r>
        <w:t>action.</w:t>
      </w:r>
    </w:p>
    <w:p w14:paraId="730D3BE6" w14:textId="77777777" w:rsidR="00EA43EC" w:rsidRDefault="00EA43EC" w:rsidP="00EA43EC">
      <w:r>
        <w:t>All notifiable actions and notifiable national security</w:t>
      </w:r>
      <w:r>
        <w:rPr>
          <w:spacing w:val="-39"/>
        </w:rPr>
        <w:t xml:space="preserve"> </w:t>
      </w:r>
      <w:r>
        <w:t>actions not covered by the NON or EC must be</w:t>
      </w:r>
      <w:r>
        <w:rPr>
          <w:spacing w:val="1"/>
        </w:rPr>
        <w:t xml:space="preserve"> </w:t>
      </w:r>
      <w:r>
        <w:t>separately</w:t>
      </w:r>
      <w:r>
        <w:rPr>
          <w:spacing w:val="-1"/>
        </w:rPr>
        <w:t xml:space="preserve"> </w:t>
      </w:r>
      <w:r>
        <w:t>notified</w:t>
      </w:r>
      <w:r>
        <w:rPr>
          <w:spacing w:val="-2"/>
        </w:rPr>
        <w:t xml:space="preserve"> </w:t>
      </w:r>
      <w:r>
        <w:t>in</w:t>
      </w:r>
      <w:r>
        <w:rPr>
          <w:spacing w:val="-1"/>
        </w:rPr>
        <w:t xml:space="preserve"> </w:t>
      </w:r>
      <w:r>
        <w:t>accordance</w:t>
      </w:r>
      <w:r>
        <w:rPr>
          <w:spacing w:val="-3"/>
        </w:rPr>
        <w:t xml:space="preserve"> </w:t>
      </w:r>
      <w:r>
        <w:t>with</w:t>
      </w:r>
      <w:r>
        <w:rPr>
          <w:spacing w:val="-1"/>
        </w:rPr>
        <w:t xml:space="preserve"> </w:t>
      </w:r>
      <w:r>
        <w:t>the</w:t>
      </w:r>
      <w:r>
        <w:rPr>
          <w:spacing w:val="-1"/>
        </w:rPr>
        <w:t xml:space="preserve"> </w:t>
      </w:r>
      <w:r>
        <w:t>Act.</w:t>
      </w:r>
    </w:p>
    <w:p w14:paraId="26D0891E" w14:textId="77777777" w:rsidR="00EA43EC" w:rsidRPr="00EA43EC" w:rsidRDefault="00EA43EC" w:rsidP="00EA43EC">
      <w:pPr>
        <w:pStyle w:val="Heading1"/>
      </w:pPr>
      <w:r w:rsidRPr="00EA43EC">
        <w:lastRenderedPageBreak/>
        <w:t>Compliance with notices</w:t>
      </w:r>
    </w:p>
    <w:p w14:paraId="27D15F92" w14:textId="7417C9E1" w:rsidR="00EA43EC" w:rsidRDefault="00EA43EC" w:rsidP="00EA43EC">
      <w:pPr>
        <w:rPr>
          <w:sz w:val="26"/>
        </w:rPr>
      </w:pPr>
      <w:r w:rsidRPr="00691CC3">
        <w:rPr>
          <w:rFonts w:eastAsia="Calibri Light"/>
        </w:rPr>
        <w:t>You may receive a notice that requires you to give information or documents to the Treasurer (for another person). You must comply with the notice</w:t>
      </w:r>
      <w:r>
        <w:rPr>
          <w:color w:val="4D7860"/>
        </w:rPr>
        <w:t>.</w:t>
      </w:r>
    </w:p>
    <w:p w14:paraId="264C1CB0" w14:textId="77777777" w:rsidR="00EA43EC" w:rsidRDefault="00EA43EC" w:rsidP="00EA43EC">
      <w:pPr>
        <w:pStyle w:val="Heading1"/>
      </w:pPr>
      <w:r>
        <w:t>Record</w:t>
      </w:r>
      <w:r>
        <w:rPr>
          <w:spacing w:val="-2"/>
        </w:rPr>
        <w:t xml:space="preserve"> </w:t>
      </w:r>
      <w:r>
        <w:t>keeping</w:t>
      </w:r>
    </w:p>
    <w:p w14:paraId="50F54BB3" w14:textId="77777777" w:rsidR="00EA43EC" w:rsidRDefault="00EA43EC" w:rsidP="00EA43EC">
      <w:r>
        <w:t>You</w:t>
      </w:r>
      <w:r>
        <w:rPr>
          <w:spacing w:val="-2"/>
        </w:rPr>
        <w:t xml:space="preserve"> </w:t>
      </w:r>
      <w:r>
        <w:t>have specific record keeping obligations under the Act.</w:t>
      </w:r>
    </w:p>
    <w:p w14:paraId="6D6601F8" w14:textId="33730429" w:rsidR="00EA43EC" w:rsidRDefault="00EA43EC" w:rsidP="00EA43EC">
      <w:r>
        <w:t>You must make and keep records of every act, transaction, event or circumstance in accordance with the table set out</w:t>
      </w:r>
      <w:r w:rsidR="009A6EA6">
        <w:t xml:space="preserve"> on </w:t>
      </w:r>
      <w:hyperlink r:id="rId16" w:history="1">
        <w:r w:rsidR="009A6EA6" w:rsidRPr="00131B38">
          <w:rPr>
            <w:rStyle w:val="Hyperlink"/>
          </w:rPr>
          <w:t>Record keeping obligations</w:t>
        </w:r>
      </w:hyperlink>
      <w:r>
        <w:t xml:space="preserve"> </w:t>
      </w:r>
      <w:r w:rsidR="004113FF">
        <w:t xml:space="preserve">on our website. </w:t>
      </w:r>
      <w:r>
        <w:t xml:space="preserve">The details of the act, transaction, event or circumstance taken should be easily ascertained in the records. </w:t>
      </w:r>
    </w:p>
    <w:p w14:paraId="7D666F2A" w14:textId="77777777" w:rsidR="00EA43EC" w:rsidRPr="00603F83" w:rsidRDefault="00EA43EC" w:rsidP="00603F83">
      <w:r w:rsidRPr="00603F83">
        <w:t>Records must be kept in English, or in a format that can be readily converted into English, and in hard copy or electric form.</w:t>
      </w:r>
    </w:p>
    <w:p w14:paraId="14EBFC0C" w14:textId="6E54F38A" w:rsidR="00A66EB6" w:rsidRDefault="00EA43EC" w:rsidP="00A66EB6">
      <w:r>
        <w:t>You may be asked to produce these records as part of your obligations. It is a strict liability offence to fail to keep records as required.</w:t>
      </w:r>
    </w:p>
    <w:p w14:paraId="2535CF15" w14:textId="77777777" w:rsidR="008C69CB" w:rsidRPr="008C69CB" w:rsidRDefault="008C69CB" w:rsidP="008C69CB">
      <w:pPr>
        <w:pStyle w:val="Heading1"/>
      </w:pPr>
      <w:r w:rsidRPr="008C69CB">
        <w:t>Our approach to compliance</w:t>
      </w:r>
    </w:p>
    <w:p w14:paraId="1C5610E7" w14:textId="7C2D0C3B" w:rsidR="008C69CB" w:rsidRDefault="008C69CB" w:rsidP="008C69CB">
      <w:r>
        <w:t>The</w:t>
      </w:r>
      <w:r>
        <w:rPr>
          <w:spacing w:val="-6"/>
        </w:rPr>
        <w:t xml:space="preserve"> </w:t>
      </w:r>
      <w:hyperlink r:id="rId17">
        <w:r w:rsidR="00C46281">
          <w:rPr>
            <w:color w:val="5D779D"/>
            <w:u w:val="single" w:color="5D779D"/>
          </w:rPr>
          <w:t>Foreign investment: Compliance framework policy statement</w:t>
        </w:r>
      </w:hyperlink>
      <w:r>
        <w:rPr>
          <w:color w:val="5D779D"/>
          <w:spacing w:val="-38"/>
        </w:rPr>
        <w:t xml:space="preserve"> </w:t>
      </w:r>
      <w:r>
        <w:t xml:space="preserve"> provides an overview of the Treasury’s</w:t>
      </w:r>
      <w:r>
        <w:rPr>
          <w:spacing w:val="1"/>
        </w:rPr>
        <w:t xml:space="preserve"> </w:t>
      </w:r>
      <w:r>
        <w:t>approach</w:t>
      </w:r>
      <w:r>
        <w:rPr>
          <w:spacing w:val="-4"/>
        </w:rPr>
        <w:t xml:space="preserve"> </w:t>
      </w:r>
      <w:r>
        <w:t>to</w:t>
      </w:r>
      <w:r>
        <w:rPr>
          <w:spacing w:val="-3"/>
        </w:rPr>
        <w:t xml:space="preserve"> </w:t>
      </w:r>
      <w:r>
        <w:t>compliance</w:t>
      </w:r>
      <w:r>
        <w:rPr>
          <w:spacing w:val="-2"/>
        </w:rPr>
        <w:t xml:space="preserve"> </w:t>
      </w:r>
      <w:r>
        <w:t>and</w:t>
      </w:r>
      <w:r>
        <w:rPr>
          <w:spacing w:val="-3"/>
        </w:rPr>
        <w:t xml:space="preserve"> </w:t>
      </w:r>
      <w:r>
        <w:t>enforcement</w:t>
      </w:r>
      <w:r>
        <w:rPr>
          <w:spacing w:val="-2"/>
        </w:rPr>
        <w:t xml:space="preserve"> </w:t>
      </w:r>
      <w:r>
        <w:t>activities.</w:t>
      </w:r>
    </w:p>
    <w:p w14:paraId="3D137613" w14:textId="7B012EFA" w:rsidR="008C69CB" w:rsidRDefault="008C69CB" w:rsidP="00C87E56">
      <w:pPr>
        <w:rPr>
          <w:sz w:val="26"/>
        </w:rPr>
      </w:pPr>
      <w:r>
        <w:t>Our compliance and enforcement powers allow us to</w:t>
      </w:r>
      <w:r>
        <w:rPr>
          <w:spacing w:val="1"/>
        </w:rPr>
        <w:t xml:space="preserve"> </w:t>
      </w:r>
      <w:r>
        <w:t>prevent, identify and respond to instances of non-</w:t>
      </w:r>
      <w:r>
        <w:rPr>
          <w:spacing w:val="1"/>
        </w:rPr>
        <w:t xml:space="preserve"> </w:t>
      </w:r>
      <w:r>
        <w:t>compliance, and include the power to direct investors</w:t>
      </w:r>
      <w:r>
        <w:rPr>
          <w:spacing w:val="1"/>
        </w:rPr>
        <w:t xml:space="preserve"> </w:t>
      </w:r>
      <w:r>
        <w:t>to take or cease particular actions. We can also give an</w:t>
      </w:r>
      <w:r>
        <w:rPr>
          <w:spacing w:val="1"/>
        </w:rPr>
        <w:t xml:space="preserve"> </w:t>
      </w:r>
      <w:r>
        <w:t>infringement notice and use monitoring and</w:t>
      </w:r>
      <w:r>
        <w:rPr>
          <w:spacing w:val="1"/>
        </w:rPr>
        <w:t xml:space="preserve"> </w:t>
      </w:r>
      <w:r>
        <w:t xml:space="preserve">investigation powers in accordance with the </w:t>
      </w:r>
      <w:r w:rsidRPr="007C5374">
        <w:rPr>
          <w:i/>
          <w:iCs/>
        </w:rPr>
        <w:t>Regulatory</w:t>
      </w:r>
      <w:r w:rsidRPr="007C5374">
        <w:rPr>
          <w:i/>
          <w:iCs/>
          <w:spacing w:val="-38"/>
        </w:rPr>
        <w:t xml:space="preserve"> </w:t>
      </w:r>
      <w:r w:rsidRPr="007C5374">
        <w:rPr>
          <w:i/>
          <w:iCs/>
        </w:rPr>
        <w:t>Powers</w:t>
      </w:r>
      <w:r w:rsidRPr="007C5374">
        <w:rPr>
          <w:i/>
          <w:iCs/>
          <w:spacing w:val="-2"/>
        </w:rPr>
        <w:t xml:space="preserve"> </w:t>
      </w:r>
      <w:r w:rsidRPr="007C5374">
        <w:rPr>
          <w:i/>
          <w:iCs/>
        </w:rPr>
        <w:t>(Standard</w:t>
      </w:r>
      <w:r w:rsidRPr="007C5374">
        <w:rPr>
          <w:i/>
          <w:iCs/>
          <w:spacing w:val="-1"/>
        </w:rPr>
        <w:t xml:space="preserve"> </w:t>
      </w:r>
      <w:r w:rsidRPr="007C5374">
        <w:rPr>
          <w:i/>
          <w:iCs/>
        </w:rPr>
        <w:t>Provisions)</w:t>
      </w:r>
      <w:r w:rsidRPr="007C5374">
        <w:rPr>
          <w:i/>
          <w:iCs/>
          <w:spacing w:val="-3"/>
        </w:rPr>
        <w:t xml:space="preserve"> </w:t>
      </w:r>
      <w:r w:rsidRPr="007C5374">
        <w:rPr>
          <w:i/>
          <w:iCs/>
        </w:rPr>
        <w:t>Act</w:t>
      </w:r>
      <w:r w:rsidRPr="007C5374">
        <w:rPr>
          <w:i/>
          <w:iCs/>
          <w:spacing w:val="-1"/>
        </w:rPr>
        <w:t xml:space="preserve"> </w:t>
      </w:r>
      <w:r w:rsidRPr="007C5374">
        <w:rPr>
          <w:i/>
          <w:iCs/>
        </w:rPr>
        <w:t>2014</w:t>
      </w:r>
      <w:r>
        <w:rPr>
          <w:spacing w:val="-1"/>
        </w:rPr>
        <w:t xml:space="preserve"> </w:t>
      </w:r>
      <w:r>
        <w:t>(the</w:t>
      </w:r>
      <w:r>
        <w:rPr>
          <w:spacing w:val="-2"/>
        </w:rPr>
        <w:t xml:space="preserve"> </w:t>
      </w:r>
      <w:r>
        <w:t>RPA).</w:t>
      </w:r>
    </w:p>
    <w:p w14:paraId="2EA59D1B" w14:textId="77777777" w:rsidR="008C69CB" w:rsidRPr="008C69CB" w:rsidRDefault="008C69CB" w:rsidP="008C69CB">
      <w:pPr>
        <w:pStyle w:val="Heading1"/>
      </w:pPr>
      <w:r w:rsidRPr="008C69CB">
        <w:t>How we assess your compliance</w:t>
      </w:r>
    </w:p>
    <w:p w14:paraId="2288E55C" w14:textId="77777777" w:rsidR="008C69CB" w:rsidRDefault="008C69CB" w:rsidP="008C69CB">
      <w:r>
        <w:t>We may undertake compliance assessments and</w:t>
      </w:r>
      <w:r>
        <w:rPr>
          <w:spacing w:val="-38"/>
        </w:rPr>
        <w:t xml:space="preserve"> </w:t>
      </w:r>
      <w:r>
        <w:t>investigations</w:t>
      </w:r>
      <w:r>
        <w:rPr>
          <w:spacing w:val="-2"/>
        </w:rPr>
        <w:t xml:space="preserve"> </w:t>
      </w:r>
      <w:r>
        <w:t>by:</w:t>
      </w:r>
    </w:p>
    <w:p w14:paraId="78D3B803" w14:textId="77777777" w:rsidR="008C69CB" w:rsidRDefault="008C69CB" w:rsidP="00D61C4F">
      <w:pPr>
        <w:pStyle w:val="Bullet"/>
      </w:pPr>
      <w:r>
        <w:t>seeking</w:t>
      </w:r>
      <w:r>
        <w:rPr>
          <w:spacing w:val="-3"/>
        </w:rPr>
        <w:t xml:space="preserve"> </w:t>
      </w:r>
      <w:r>
        <w:t>information</w:t>
      </w:r>
      <w:r>
        <w:rPr>
          <w:spacing w:val="-3"/>
        </w:rPr>
        <w:t xml:space="preserve"> </w:t>
      </w:r>
      <w:r>
        <w:t>from</w:t>
      </w:r>
      <w:r>
        <w:rPr>
          <w:spacing w:val="-4"/>
        </w:rPr>
        <w:t xml:space="preserve"> </w:t>
      </w:r>
      <w:r>
        <w:t>investors</w:t>
      </w:r>
    </w:p>
    <w:p w14:paraId="6D4730C4" w14:textId="77777777" w:rsidR="008C69CB" w:rsidRDefault="008C69CB" w:rsidP="00D61C4F">
      <w:pPr>
        <w:pStyle w:val="Bullet"/>
      </w:pPr>
      <w:r>
        <w:t>using our powers under the Act to require</w:t>
      </w:r>
      <w:r>
        <w:rPr>
          <w:spacing w:val="-38"/>
        </w:rPr>
        <w:t xml:space="preserve"> </w:t>
      </w:r>
      <w:r>
        <w:t>information</w:t>
      </w:r>
      <w:r>
        <w:rPr>
          <w:spacing w:val="-2"/>
        </w:rPr>
        <w:t xml:space="preserve"> </w:t>
      </w:r>
      <w:r>
        <w:t>or</w:t>
      </w:r>
      <w:r>
        <w:rPr>
          <w:spacing w:val="-2"/>
        </w:rPr>
        <w:t xml:space="preserve"> </w:t>
      </w:r>
      <w:r>
        <w:t>documents</w:t>
      </w:r>
      <w:r>
        <w:rPr>
          <w:spacing w:val="-1"/>
        </w:rPr>
        <w:t xml:space="preserve"> </w:t>
      </w:r>
      <w:r>
        <w:t>to</w:t>
      </w:r>
      <w:r>
        <w:rPr>
          <w:spacing w:val="-2"/>
        </w:rPr>
        <w:t xml:space="preserve"> </w:t>
      </w:r>
      <w:r>
        <w:t>be</w:t>
      </w:r>
      <w:r>
        <w:rPr>
          <w:spacing w:val="-1"/>
        </w:rPr>
        <w:t xml:space="preserve"> </w:t>
      </w:r>
      <w:r>
        <w:t>given or</w:t>
      </w:r>
    </w:p>
    <w:p w14:paraId="5F26BBC6" w14:textId="77777777" w:rsidR="008C69CB" w:rsidRDefault="008C69CB" w:rsidP="00D61C4F">
      <w:pPr>
        <w:pStyle w:val="Bullet"/>
      </w:pPr>
      <w:r>
        <w:t>using the monitoring powers and investigation</w:t>
      </w:r>
      <w:r>
        <w:rPr>
          <w:spacing w:val="-38"/>
        </w:rPr>
        <w:t xml:space="preserve"> </w:t>
      </w:r>
      <w:r>
        <w:t>powers</w:t>
      </w:r>
      <w:r>
        <w:rPr>
          <w:spacing w:val="-2"/>
        </w:rPr>
        <w:t xml:space="preserve"> </w:t>
      </w:r>
      <w:r>
        <w:t>under the RPA.</w:t>
      </w:r>
    </w:p>
    <w:p w14:paraId="274D95D7" w14:textId="77777777" w:rsidR="00D61C4F" w:rsidRDefault="008C69CB" w:rsidP="00D61C4F">
      <w:r>
        <w:t>Decisions</w:t>
      </w:r>
      <w:r>
        <w:rPr>
          <w:spacing w:val="-3"/>
        </w:rPr>
        <w:t xml:space="preserve"> </w:t>
      </w:r>
      <w:r>
        <w:t>on</w:t>
      </w:r>
      <w:r>
        <w:rPr>
          <w:spacing w:val="-5"/>
        </w:rPr>
        <w:t xml:space="preserve"> </w:t>
      </w:r>
      <w:r>
        <w:t>the</w:t>
      </w:r>
      <w:r>
        <w:rPr>
          <w:spacing w:val="-2"/>
        </w:rPr>
        <w:t xml:space="preserve"> </w:t>
      </w:r>
      <w:r>
        <w:t>most</w:t>
      </w:r>
      <w:r>
        <w:rPr>
          <w:spacing w:val="-2"/>
        </w:rPr>
        <w:t xml:space="preserve"> </w:t>
      </w:r>
      <w:r>
        <w:t>appropriate</w:t>
      </w:r>
      <w:r>
        <w:rPr>
          <w:spacing w:val="-3"/>
        </w:rPr>
        <w:t xml:space="preserve"> </w:t>
      </w:r>
      <w:r>
        <w:t>method</w:t>
      </w:r>
      <w:r>
        <w:rPr>
          <w:spacing w:val="-2"/>
        </w:rPr>
        <w:t xml:space="preserve"> </w:t>
      </w:r>
      <w:r>
        <w:t>of</w:t>
      </w:r>
      <w:r>
        <w:rPr>
          <w:spacing w:val="-3"/>
        </w:rPr>
        <w:t xml:space="preserve"> </w:t>
      </w:r>
      <w:r>
        <w:t>assessing</w:t>
      </w:r>
      <w:r>
        <w:rPr>
          <w:spacing w:val="-38"/>
        </w:rPr>
        <w:t xml:space="preserve"> </w:t>
      </w:r>
      <w:r>
        <w:t>compliance or investigating non-compliance are made</w:t>
      </w:r>
      <w:r>
        <w:rPr>
          <w:spacing w:val="1"/>
        </w:rPr>
        <w:t xml:space="preserve"> </w:t>
      </w:r>
      <w:r>
        <w:t>on</w:t>
      </w:r>
      <w:r>
        <w:rPr>
          <w:spacing w:val="-2"/>
        </w:rPr>
        <w:t xml:space="preserve"> </w:t>
      </w:r>
      <w:r>
        <w:t>a</w:t>
      </w:r>
      <w:r>
        <w:rPr>
          <w:spacing w:val="-1"/>
        </w:rPr>
        <w:t xml:space="preserve"> </w:t>
      </w:r>
      <w:r>
        <w:t>case-by-case</w:t>
      </w:r>
      <w:r>
        <w:rPr>
          <w:spacing w:val="-1"/>
        </w:rPr>
        <w:t xml:space="preserve"> </w:t>
      </w:r>
      <w:r>
        <w:t>basis.</w:t>
      </w:r>
    </w:p>
    <w:p w14:paraId="1CF7AE0D" w14:textId="667A2B13" w:rsidR="008C69CB" w:rsidRDefault="008C69CB" w:rsidP="00D61C4F">
      <w:r>
        <w:t>Our powers under the RPA allow authorised officers</w:t>
      </w:r>
      <w:r>
        <w:rPr>
          <w:spacing w:val="1"/>
        </w:rPr>
        <w:t xml:space="preserve"> </w:t>
      </w:r>
      <w:r>
        <w:t>to enter premises to assess compliance or investigate</w:t>
      </w:r>
      <w:r>
        <w:rPr>
          <w:spacing w:val="-38"/>
        </w:rPr>
        <w:t xml:space="preserve"> </w:t>
      </w:r>
      <w:r>
        <w:t>possible non-compliance. Authorised officers are</w:t>
      </w:r>
      <w:r>
        <w:rPr>
          <w:spacing w:val="1"/>
        </w:rPr>
        <w:t xml:space="preserve"> </w:t>
      </w:r>
      <w:r>
        <w:t>appointed</w:t>
      </w:r>
      <w:r>
        <w:rPr>
          <w:spacing w:val="-3"/>
        </w:rPr>
        <w:t xml:space="preserve"> </w:t>
      </w:r>
      <w:r>
        <w:t>employees</w:t>
      </w:r>
      <w:r>
        <w:rPr>
          <w:spacing w:val="-1"/>
        </w:rPr>
        <w:t xml:space="preserve"> </w:t>
      </w:r>
      <w:r>
        <w:t>in</w:t>
      </w:r>
      <w:r>
        <w:rPr>
          <w:spacing w:val="-1"/>
        </w:rPr>
        <w:t xml:space="preserve"> </w:t>
      </w:r>
      <w:r>
        <w:t>the</w:t>
      </w:r>
      <w:r>
        <w:rPr>
          <w:spacing w:val="-1"/>
        </w:rPr>
        <w:t xml:space="preserve"> </w:t>
      </w:r>
      <w:r>
        <w:t>Treasury</w:t>
      </w:r>
      <w:r>
        <w:rPr>
          <w:spacing w:val="-1"/>
        </w:rPr>
        <w:t xml:space="preserve"> </w:t>
      </w:r>
      <w:r>
        <w:t>and</w:t>
      </w:r>
      <w:r>
        <w:rPr>
          <w:spacing w:val="-1"/>
        </w:rPr>
        <w:t xml:space="preserve"> </w:t>
      </w:r>
      <w:r>
        <w:t>may:</w:t>
      </w:r>
    </w:p>
    <w:p w14:paraId="64DCDD65" w14:textId="77777777" w:rsidR="008C69CB" w:rsidRDefault="008C69CB" w:rsidP="00D61C4F">
      <w:pPr>
        <w:pStyle w:val="Bullet"/>
      </w:pPr>
      <w:r>
        <w:t>search,</w:t>
      </w:r>
      <w:r>
        <w:rPr>
          <w:spacing w:val="-3"/>
        </w:rPr>
        <w:t xml:space="preserve"> </w:t>
      </w:r>
      <w:r>
        <w:t>observe</w:t>
      </w:r>
      <w:r>
        <w:rPr>
          <w:spacing w:val="-3"/>
        </w:rPr>
        <w:t xml:space="preserve"> </w:t>
      </w:r>
      <w:r>
        <w:t>and</w:t>
      </w:r>
      <w:r>
        <w:rPr>
          <w:spacing w:val="-1"/>
        </w:rPr>
        <w:t xml:space="preserve"> </w:t>
      </w:r>
      <w:r>
        <w:t>examine</w:t>
      </w:r>
      <w:r>
        <w:rPr>
          <w:spacing w:val="-2"/>
        </w:rPr>
        <w:t xml:space="preserve"> </w:t>
      </w:r>
      <w:r>
        <w:t>activities</w:t>
      </w:r>
      <w:r>
        <w:rPr>
          <w:spacing w:val="-3"/>
        </w:rPr>
        <w:t xml:space="preserve"> </w:t>
      </w:r>
      <w:r>
        <w:t>on</w:t>
      </w:r>
      <w:r>
        <w:rPr>
          <w:spacing w:val="-2"/>
        </w:rPr>
        <w:t xml:space="preserve"> </w:t>
      </w:r>
      <w:r>
        <w:t>a</w:t>
      </w:r>
      <w:r>
        <w:rPr>
          <w:spacing w:val="-3"/>
        </w:rPr>
        <w:t xml:space="preserve"> </w:t>
      </w:r>
      <w:r>
        <w:t>premises</w:t>
      </w:r>
    </w:p>
    <w:p w14:paraId="08266022" w14:textId="77777777" w:rsidR="008C69CB" w:rsidRDefault="008C69CB" w:rsidP="00D61C4F">
      <w:pPr>
        <w:pStyle w:val="Bullet"/>
      </w:pPr>
      <w:r>
        <w:t>inspect,</w:t>
      </w:r>
      <w:r>
        <w:rPr>
          <w:spacing w:val="-3"/>
        </w:rPr>
        <w:t xml:space="preserve"> </w:t>
      </w:r>
      <w:r>
        <w:t>examine,</w:t>
      </w:r>
      <w:r>
        <w:rPr>
          <w:spacing w:val="-2"/>
        </w:rPr>
        <w:t xml:space="preserve"> </w:t>
      </w:r>
      <w:r>
        <w:t>measure</w:t>
      </w:r>
      <w:r>
        <w:rPr>
          <w:spacing w:val="-1"/>
        </w:rPr>
        <w:t xml:space="preserve"> </w:t>
      </w:r>
      <w:r>
        <w:t>or</w:t>
      </w:r>
      <w:r>
        <w:rPr>
          <w:spacing w:val="-2"/>
        </w:rPr>
        <w:t xml:space="preserve"> </w:t>
      </w:r>
      <w:r>
        <w:t>test</w:t>
      </w:r>
      <w:r>
        <w:rPr>
          <w:spacing w:val="-2"/>
        </w:rPr>
        <w:t xml:space="preserve"> </w:t>
      </w:r>
      <w:r>
        <w:t>things</w:t>
      </w:r>
    </w:p>
    <w:p w14:paraId="4342B62B" w14:textId="77777777" w:rsidR="008C69CB" w:rsidRDefault="008C69CB" w:rsidP="00D61C4F">
      <w:pPr>
        <w:pStyle w:val="Bullet"/>
      </w:pPr>
      <w:r>
        <w:t>inspect and take extracts or copies of documents,</w:t>
      </w:r>
      <w:r>
        <w:rPr>
          <w:spacing w:val="-38"/>
        </w:rPr>
        <w:t xml:space="preserve"> </w:t>
      </w:r>
      <w:r>
        <w:t>and</w:t>
      </w:r>
      <w:r>
        <w:rPr>
          <w:spacing w:val="-1"/>
        </w:rPr>
        <w:t xml:space="preserve"> </w:t>
      </w:r>
      <w:r>
        <w:t>make photo,</w:t>
      </w:r>
      <w:r>
        <w:rPr>
          <w:spacing w:val="-1"/>
        </w:rPr>
        <w:t xml:space="preserve"> </w:t>
      </w:r>
      <w:r>
        <w:t>audio</w:t>
      </w:r>
      <w:r>
        <w:rPr>
          <w:spacing w:val="-1"/>
        </w:rPr>
        <w:t xml:space="preserve"> </w:t>
      </w:r>
      <w:r>
        <w:t>or</w:t>
      </w:r>
      <w:r>
        <w:rPr>
          <w:spacing w:val="-1"/>
        </w:rPr>
        <w:t xml:space="preserve"> </w:t>
      </w:r>
      <w:r>
        <w:t>video</w:t>
      </w:r>
      <w:r>
        <w:rPr>
          <w:spacing w:val="-1"/>
        </w:rPr>
        <w:t xml:space="preserve"> </w:t>
      </w:r>
      <w:r>
        <w:t>records</w:t>
      </w:r>
    </w:p>
    <w:p w14:paraId="715363D6" w14:textId="77777777" w:rsidR="008C69CB" w:rsidRDefault="008C69CB" w:rsidP="00D61C4F">
      <w:pPr>
        <w:pStyle w:val="Bullet"/>
      </w:pPr>
      <w:r>
        <w:t>bring</w:t>
      </w:r>
      <w:r>
        <w:rPr>
          <w:spacing w:val="-3"/>
        </w:rPr>
        <w:t xml:space="preserve"> </w:t>
      </w:r>
      <w:r>
        <w:t>and</w:t>
      </w:r>
      <w:r>
        <w:rPr>
          <w:spacing w:val="-3"/>
        </w:rPr>
        <w:t xml:space="preserve"> </w:t>
      </w:r>
      <w:r>
        <w:t>operate</w:t>
      </w:r>
      <w:r>
        <w:rPr>
          <w:spacing w:val="-3"/>
        </w:rPr>
        <w:t xml:space="preserve"> </w:t>
      </w:r>
      <w:r>
        <w:t>equipment</w:t>
      </w:r>
      <w:r>
        <w:rPr>
          <w:spacing w:val="-3"/>
        </w:rPr>
        <w:t xml:space="preserve"> </w:t>
      </w:r>
      <w:r>
        <w:t>and</w:t>
      </w:r>
      <w:r>
        <w:rPr>
          <w:spacing w:val="-5"/>
        </w:rPr>
        <w:t xml:space="preserve"> </w:t>
      </w:r>
      <w:r>
        <w:t>storage</w:t>
      </w:r>
      <w:r>
        <w:rPr>
          <w:spacing w:val="-4"/>
        </w:rPr>
        <w:t xml:space="preserve"> </w:t>
      </w:r>
      <w:r>
        <w:t>devices</w:t>
      </w:r>
    </w:p>
    <w:p w14:paraId="272A0F3E" w14:textId="77777777" w:rsidR="008C69CB" w:rsidRDefault="008C69CB" w:rsidP="00D61C4F">
      <w:pPr>
        <w:pStyle w:val="Bullet"/>
      </w:pPr>
      <w:r>
        <w:lastRenderedPageBreak/>
        <w:t>ask</w:t>
      </w:r>
      <w:r>
        <w:rPr>
          <w:spacing w:val="-1"/>
        </w:rPr>
        <w:t xml:space="preserve"> </w:t>
      </w:r>
      <w:r>
        <w:t>questions</w:t>
      </w:r>
      <w:r>
        <w:rPr>
          <w:spacing w:val="-2"/>
        </w:rPr>
        <w:t xml:space="preserve"> </w:t>
      </w:r>
      <w:r>
        <w:t>and</w:t>
      </w:r>
      <w:r>
        <w:rPr>
          <w:spacing w:val="-1"/>
        </w:rPr>
        <w:t xml:space="preserve"> </w:t>
      </w:r>
      <w:r>
        <w:t>request documents</w:t>
      </w:r>
    </w:p>
    <w:p w14:paraId="139772CD" w14:textId="77777777" w:rsidR="008C69CB" w:rsidRDefault="008C69CB" w:rsidP="00D61C4F">
      <w:pPr>
        <w:pStyle w:val="Bullet"/>
      </w:pPr>
      <w:r>
        <w:t>secure equipment (to obtain expert assistance) and</w:t>
      </w:r>
      <w:r>
        <w:rPr>
          <w:spacing w:val="-38"/>
        </w:rPr>
        <w:t xml:space="preserve"> </w:t>
      </w:r>
      <w:r>
        <w:t>evidence</w:t>
      </w:r>
      <w:r>
        <w:rPr>
          <w:spacing w:val="-2"/>
        </w:rPr>
        <w:t xml:space="preserve"> </w:t>
      </w:r>
      <w:r>
        <w:t>(of</w:t>
      </w:r>
      <w:r>
        <w:rPr>
          <w:spacing w:val="-3"/>
        </w:rPr>
        <w:t xml:space="preserve"> </w:t>
      </w:r>
      <w:r>
        <w:t>non-compliance)</w:t>
      </w:r>
      <w:r>
        <w:rPr>
          <w:spacing w:val="-2"/>
        </w:rPr>
        <w:t xml:space="preserve"> </w:t>
      </w:r>
      <w:r>
        <w:t>for up</w:t>
      </w:r>
      <w:r>
        <w:rPr>
          <w:spacing w:val="-1"/>
        </w:rPr>
        <w:t xml:space="preserve"> </w:t>
      </w:r>
      <w:r>
        <w:t>to</w:t>
      </w:r>
      <w:r>
        <w:rPr>
          <w:spacing w:val="-2"/>
        </w:rPr>
        <w:t xml:space="preserve"> </w:t>
      </w:r>
      <w:r>
        <w:t>24</w:t>
      </w:r>
      <w:r>
        <w:rPr>
          <w:spacing w:val="-1"/>
        </w:rPr>
        <w:t xml:space="preserve"> </w:t>
      </w:r>
      <w:r>
        <w:t>hours</w:t>
      </w:r>
    </w:p>
    <w:p w14:paraId="341BDB92" w14:textId="77777777" w:rsidR="008C69CB" w:rsidRDefault="008C69CB" w:rsidP="00D61C4F">
      <w:pPr>
        <w:pStyle w:val="Bullet"/>
      </w:pPr>
      <w:r>
        <w:t>be accompanied by other persons assisting the</w:t>
      </w:r>
      <w:r>
        <w:rPr>
          <w:spacing w:val="1"/>
        </w:rPr>
        <w:t xml:space="preserve"> </w:t>
      </w:r>
      <w:r>
        <w:t>authorised</w:t>
      </w:r>
      <w:r>
        <w:rPr>
          <w:spacing w:val="-3"/>
        </w:rPr>
        <w:t xml:space="preserve"> </w:t>
      </w:r>
      <w:r>
        <w:t>officer</w:t>
      </w:r>
      <w:r>
        <w:rPr>
          <w:spacing w:val="-3"/>
        </w:rPr>
        <w:t xml:space="preserve"> </w:t>
      </w:r>
      <w:r>
        <w:t>where</w:t>
      </w:r>
      <w:r>
        <w:rPr>
          <w:spacing w:val="-3"/>
        </w:rPr>
        <w:t xml:space="preserve"> </w:t>
      </w:r>
      <w:r>
        <w:t>necessary</w:t>
      </w:r>
      <w:r>
        <w:rPr>
          <w:spacing w:val="-2"/>
        </w:rPr>
        <w:t xml:space="preserve"> </w:t>
      </w:r>
      <w:r>
        <w:t>and</w:t>
      </w:r>
      <w:r>
        <w:rPr>
          <w:spacing w:val="-3"/>
        </w:rPr>
        <w:t xml:space="preserve"> </w:t>
      </w:r>
      <w:r>
        <w:t>reasonable</w:t>
      </w:r>
    </w:p>
    <w:p w14:paraId="7A91F577" w14:textId="6A2A7C92" w:rsidR="008C69CB" w:rsidRPr="00D61C4F" w:rsidRDefault="008C69CB" w:rsidP="00D61C4F">
      <w:pPr>
        <w:pStyle w:val="Bullet"/>
      </w:pPr>
      <w:r>
        <w:t>seize evidential material when entering a premises</w:t>
      </w:r>
      <w:r>
        <w:rPr>
          <w:spacing w:val="-38"/>
        </w:rPr>
        <w:t xml:space="preserve"> </w:t>
      </w:r>
      <w:r>
        <w:t>under</w:t>
      </w:r>
      <w:r>
        <w:rPr>
          <w:spacing w:val="-1"/>
        </w:rPr>
        <w:t xml:space="preserve"> </w:t>
      </w:r>
      <w:r>
        <w:t>an investigation</w:t>
      </w:r>
      <w:r>
        <w:rPr>
          <w:spacing w:val="-1"/>
        </w:rPr>
        <w:t xml:space="preserve"> </w:t>
      </w:r>
      <w:r>
        <w:t>warrant.</w:t>
      </w:r>
    </w:p>
    <w:p w14:paraId="4C82C08E" w14:textId="77777777" w:rsidR="008C69CB" w:rsidRPr="00D61C4F" w:rsidRDefault="008C69CB" w:rsidP="00D61C4F">
      <w:pPr>
        <w:pStyle w:val="Heading1"/>
      </w:pPr>
      <w:r w:rsidRPr="00D61C4F">
        <w:t>Tell us about possible non-compliance</w:t>
      </w:r>
    </w:p>
    <w:p w14:paraId="4F21D7D5" w14:textId="77777777" w:rsidR="008C69CB" w:rsidRDefault="008C69CB" w:rsidP="00D61C4F">
      <w:r>
        <w:t>The Treasury strongly encourages voluntary disclosure</w:t>
      </w:r>
      <w:r>
        <w:rPr>
          <w:spacing w:val="1"/>
        </w:rPr>
        <w:t xml:space="preserve"> </w:t>
      </w:r>
      <w:r>
        <w:t>of non-compliance. We may prefer to work with you to</w:t>
      </w:r>
      <w:r>
        <w:rPr>
          <w:spacing w:val="-38"/>
        </w:rPr>
        <w:t xml:space="preserve"> </w:t>
      </w:r>
      <w:r>
        <w:t>achieve</w:t>
      </w:r>
      <w:r>
        <w:rPr>
          <w:spacing w:val="-2"/>
        </w:rPr>
        <w:t xml:space="preserve"> </w:t>
      </w:r>
      <w:r>
        <w:t>compliance in</w:t>
      </w:r>
      <w:r>
        <w:rPr>
          <w:spacing w:val="-1"/>
        </w:rPr>
        <w:t xml:space="preserve"> </w:t>
      </w:r>
      <w:r>
        <w:t>cases where:</w:t>
      </w:r>
    </w:p>
    <w:p w14:paraId="6061F4D2" w14:textId="77777777" w:rsidR="008C69CB" w:rsidRDefault="008C69CB" w:rsidP="00D61C4F">
      <w:pPr>
        <w:pStyle w:val="Bullet"/>
      </w:pPr>
      <w:r>
        <w:t>non-compliance</w:t>
      </w:r>
      <w:r>
        <w:rPr>
          <w:spacing w:val="-3"/>
        </w:rPr>
        <w:t xml:space="preserve"> </w:t>
      </w:r>
      <w:r>
        <w:t>is</w:t>
      </w:r>
      <w:r>
        <w:rPr>
          <w:spacing w:val="-3"/>
        </w:rPr>
        <w:t xml:space="preserve"> </w:t>
      </w:r>
      <w:r>
        <w:t>inadvertent</w:t>
      </w:r>
      <w:r>
        <w:rPr>
          <w:spacing w:val="-3"/>
        </w:rPr>
        <w:t xml:space="preserve"> </w:t>
      </w:r>
      <w:r>
        <w:t>and</w:t>
      </w:r>
      <w:r>
        <w:rPr>
          <w:spacing w:val="-3"/>
        </w:rPr>
        <w:t xml:space="preserve"> </w:t>
      </w:r>
      <w:r>
        <w:t>self-reported</w:t>
      </w:r>
    </w:p>
    <w:p w14:paraId="28FA1274" w14:textId="77777777" w:rsidR="008C69CB" w:rsidRDefault="008C69CB" w:rsidP="00D61C4F">
      <w:pPr>
        <w:pStyle w:val="Bullet"/>
      </w:pPr>
      <w:r>
        <w:t>the</w:t>
      </w:r>
      <w:r>
        <w:rPr>
          <w:spacing w:val="-1"/>
        </w:rPr>
        <w:t xml:space="preserve"> </w:t>
      </w:r>
      <w:r>
        <w:t>breach</w:t>
      </w:r>
      <w:r>
        <w:rPr>
          <w:spacing w:val="-2"/>
        </w:rPr>
        <w:t xml:space="preserve"> </w:t>
      </w:r>
      <w:r>
        <w:t>is</w:t>
      </w:r>
      <w:r>
        <w:rPr>
          <w:spacing w:val="-1"/>
        </w:rPr>
        <w:t xml:space="preserve"> </w:t>
      </w:r>
      <w:r>
        <w:t>administrative</w:t>
      </w:r>
      <w:r>
        <w:rPr>
          <w:spacing w:val="-1"/>
        </w:rPr>
        <w:t xml:space="preserve"> </w:t>
      </w:r>
      <w:r>
        <w:t>and</w:t>
      </w:r>
    </w:p>
    <w:p w14:paraId="1CA2B0C7" w14:textId="77777777" w:rsidR="008C69CB" w:rsidRDefault="008C69CB" w:rsidP="00D61C4F">
      <w:pPr>
        <w:pStyle w:val="Bullet"/>
      </w:pPr>
      <w:r>
        <w:t>you are willing to remediate the breach as quickly</w:t>
      </w:r>
      <w:r>
        <w:rPr>
          <w:spacing w:val="-38"/>
        </w:rPr>
        <w:t xml:space="preserve"> </w:t>
      </w:r>
      <w:r>
        <w:t>as</w:t>
      </w:r>
      <w:r>
        <w:rPr>
          <w:spacing w:val="-1"/>
        </w:rPr>
        <w:t xml:space="preserve"> </w:t>
      </w:r>
      <w:r>
        <w:t>possible.</w:t>
      </w:r>
    </w:p>
    <w:p w14:paraId="28648475" w14:textId="246B6B52" w:rsidR="008C69CB" w:rsidRDefault="008C69CB" w:rsidP="00D61C4F">
      <w:r>
        <w:t>Lower penalties may also apply for non-compliance</w:t>
      </w:r>
      <w:r>
        <w:rPr>
          <w:spacing w:val="1"/>
        </w:rPr>
        <w:t xml:space="preserve"> </w:t>
      </w:r>
      <w:r>
        <w:t>that is voluntarily disclosed. Details on how to make a</w:t>
      </w:r>
      <w:r>
        <w:rPr>
          <w:spacing w:val="1"/>
        </w:rPr>
        <w:t xml:space="preserve"> </w:t>
      </w:r>
      <w:r>
        <w:t>voluntary</w:t>
      </w:r>
      <w:r>
        <w:rPr>
          <w:spacing w:val="-3"/>
        </w:rPr>
        <w:t xml:space="preserve"> </w:t>
      </w:r>
      <w:r>
        <w:t>disclosure</w:t>
      </w:r>
      <w:r>
        <w:rPr>
          <w:spacing w:val="-3"/>
        </w:rPr>
        <w:t xml:space="preserve"> </w:t>
      </w:r>
      <w:r>
        <w:t>are</w:t>
      </w:r>
      <w:r>
        <w:rPr>
          <w:spacing w:val="-3"/>
        </w:rPr>
        <w:t xml:space="preserve"> </w:t>
      </w:r>
      <w:r>
        <w:t>available</w:t>
      </w:r>
      <w:r>
        <w:rPr>
          <w:spacing w:val="-5"/>
        </w:rPr>
        <w:t xml:space="preserve"> </w:t>
      </w:r>
      <w:r>
        <w:t>on</w:t>
      </w:r>
      <w:r>
        <w:rPr>
          <w:spacing w:val="-4"/>
        </w:rPr>
        <w:t xml:space="preserve"> </w:t>
      </w:r>
      <w:hyperlink r:id="rId18" w:history="1">
        <w:r w:rsidR="00E5429E" w:rsidRPr="00E5429E">
          <w:rPr>
            <w:rStyle w:val="Hyperlink"/>
          </w:rPr>
          <w:t>Our approach to compliance</w:t>
        </w:r>
      </w:hyperlink>
      <w:r w:rsidR="003C2FEF">
        <w:t xml:space="preserve"> on our website.</w:t>
      </w:r>
    </w:p>
    <w:p w14:paraId="2E448EB6" w14:textId="77777777" w:rsidR="00501BB0" w:rsidRPr="00501BB0" w:rsidRDefault="00501BB0" w:rsidP="00501BB0">
      <w:pPr>
        <w:pStyle w:val="Heading1"/>
      </w:pPr>
      <w:r w:rsidRPr="00501BB0">
        <w:t>More information</w:t>
      </w:r>
    </w:p>
    <w:p w14:paraId="575AC5FE" w14:textId="77F38BA7" w:rsidR="00884758" w:rsidRDefault="008B50BB" w:rsidP="00105BF3">
      <w:pPr>
        <w:rPr>
          <w:rFonts w:eastAsiaTheme="minorHAnsi"/>
          <w:lang w:eastAsia="en-US"/>
        </w:rPr>
      </w:pPr>
      <w:r>
        <w:rPr>
          <w:rFonts w:eastAsiaTheme="minorHAnsi"/>
          <w:lang w:eastAsia="en-US"/>
        </w:rPr>
        <w:t>You can find more</w:t>
      </w:r>
      <w:r w:rsidR="00884758">
        <w:rPr>
          <w:rFonts w:eastAsiaTheme="minorHAnsi"/>
          <w:lang w:eastAsia="en-US"/>
        </w:rPr>
        <w:t xml:space="preserve"> information </w:t>
      </w:r>
      <w:r w:rsidR="00291016">
        <w:rPr>
          <w:rFonts w:eastAsiaTheme="minorHAnsi"/>
          <w:lang w:eastAsia="en-US"/>
        </w:rPr>
        <w:t xml:space="preserve">on our website </w:t>
      </w:r>
      <w:r w:rsidR="00105BF3">
        <w:rPr>
          <w:rFonts w:eastAsiaTheme="minorHAnsi"/>
          <w:lang w:eastAsia="en-US"/>
        </w:rPr>
        <w:t>about</w:t>
      </w:r>
      <w:r w:rsidR="00884758">
        <w:rPr>
          <w:rFonts w:eastAsiaTheme="minorHAnsi"/>
          <w:lang w:eastAsia="en-US"/>
        </w:rPr>
        <w:t xml:space="preserve"> notification and reporting requirements </w:t>
      </w:r>
      <w:r w:rsidR="00105BF3">
        <w:rPr>
          <w:rFonts w:eastAsiaTheme="minorHAnsi"/>
          <w:lang w:eastAsia="en-US"/>
        </w:rPr>
        <w:t>at</w:t>
      </w:r>
      <w:r w:rsidR="00464155">
        <w:rPr>
          <w:rFonts w:eastAsiaTheme="minorHAnsi"/>
          <w:lang w:eastAsia="en-US"/>
        </w:rPr>
        <w:t xml:space="preserve"> </w:t>
      </w:r>
      <w:hyperlink r:id="rId19" w:history="1">
        <w:r w:rsidR="00464155" w:rsidRPr="00464155">
          <w:rPr>
            <w:rStyle w:val="Hyperlink"/>
            <w:rFonts w:eastAsiaTheme="minorHAnsi"/>
            <w:lang w:eastAsia="en-US"/>
          </w:rPr>
          <w:t>Notification of actions</w:t>
        </w:r>
      </w:hyperlink>
      <w:r w:rsidR="00105BF3">
        <w:rPr>
          <w:rFonts w:eastAsiaTheme="minorHAnsi"/>
          <w:lang w:eastAsia="en-US"/>
        </w:rPr>
        <w:t>, and your</w:t>
      </w:r>
      <w:r w:rsidR="00884758">
        <w:rPr>
          <w:rFonts w:eastAsiaTheme="minorHAnsi"/>
          <w:lang w:eastAsia="en-US"/>
        </w:rPr>
        <w:t xml:space="preserve"> compliance obligations</w:t>
      </w:r>
      <w:r w:rsidR="00105BF3">
        <w:rPr>
          <w:rFonts w:eastAsiaTheme="minorHAnsi"/>
          <w:lang w:eastAsia="en-US"/>
        </w:rPr>
        <w:t xml:space="preserve"> at </w:t>
      </w:r>
      <w:hyperlink r:id="rId20" w:history="1">
        <w:r w:rsidR="002156B0" w:rsidRPr="002156B0">
          <w:rPr>
            <w:rStyle w:val="Hyperlink"/>
            <w:rFonts w:eastAsiaTheme="minorHAnsi"/>
            <w:lang w:eastAsia="en-US"/>
          </w:rPr>
          <w:t>Know your obligations</w:t>
        </w:r>
      </w:hyperlink>
      <w:r w:rsidR="002156B0">
        <w:rPr>
          <w:rFonts w:eastAsiaTheme="minorHAnsi"/>
          <w:lang w:eastAsia="en-US"/>
        </w:rPr>
        <w:t>.</w:t>
      </w:r>
    </w:p>
    <w:p w14:paraId="074DF485" w14:textId="4439E12B" w:rsidR="00884758" w:rsidRDefault="00884758" w:rsidP="002156B0">
      <w:pPr>
        <w:rPr>
          <w:rFonts w:eastAsiaTheme="minorHAnsi"/>
          <w:sz w:val="26"/>
          <w:szCs w:val="26"/>
          <w:lang w:eastAsia="en-US"/>
        </w:rPr>
      </w:pPr>
      <w:r>
        <w:rPr>
          <w:rFonts w:eastAsiaTheme="minorHAnsi"/>
          <w:lang w:eastAsia="en-US"/>
        </w:rPr>
        <w:t xml:space="preserve">We encourage you to check these matters on foreigninvestment.gov.au or engage with us by emailing </w:t>
      </w:r>
      <w:r w:rsidR="002156B0" w:rsidRPr="002156B0">
        <w:rPr>
          <w:rFonts w:eastAsiaTheme="minorHAnsi"/>
          <w:color w:val="5D779D"/>
          <w:lang w:eastAsia="en-US"/>
        </w:rPr>
        <w:t>f</w:t>
      </w:r>
      <w:r w:rsidRPr="002156B0">
        <w:rPr>
          <w:rFonts w:eastAsiaTheme="minorHAnsi"/>
          <w:color w:val="5D779D"/>
          <w:lang w:eastAsia="en-US"/>
        </w:rPr>
        <w:t>oreign</w:t>
      </w:r>
      <w:r w:rsidR="002156B0" w:rsidRPr="002156B0">
        <w:rPr>
          <w:rFonts w:eastAsiaTheme="minorHAnsi"/>
          <w:color w:val="5D779D"/>
          <w:lang w:eastAsia="en-US"/>
        </w:rPr>
        <w:t>i</w:t>
      </w:r>
      <w:r w:rsidRPr="002156B0">
        <w:rPr>
          <w:rFonts w:eastAsiaTheme="minorHAnsi"/>
          <w:color w:val="5D779D"/>
          <w:lang w:eastAsia="en-US"/>
        </w:rPr>
        <w:t>nvestment</w:t>
      </w:r>
      <w:r w:rsidR="002156B0" w:rsidRPr="002156B0">
        <w:rPr>
          <w:rFonts w:eastAsiaTheme="minorHAnsi"/>
          <w:color w:val="5D779D"/>
          <w:lang w:eastAsia="en-US"/>
        </w:rPr>
        <w:t>c</w:t>
      </w:r>
      <w:r w:rsidRPr="002156B0">
        <w:rPr>
          <w:rFonts w:eastAsiaTheme="minorHAnsi"/>
          <w:color w:val="5D779D"/>
          <w:lang w:eastAsia="en-US"/>
        </w:rPr>
        <w:t>ompliance@treasury.gov.au</w:t>
      </w:r>
      <w:r w:rsidR="002156B0">
        <w:rPr>
          <w:rFonts w:eastAsiaTheme="minorHAnsi"/>
          <w:color w:val="0000FF"/>
          <w:lang w:eastAsia="en-US"/>
        </w:rPr>
        <w:t>.</w:t>
      </w:r>
    </w:p>
    <w:p w14:paraId="5DB50FF6" w14:textId="5B03E90F" w:rsidR="00501BB0" w:rsidRDefault="002156B0" w:rsidP="002156B0">
      <w:r>
        <w:rPr>
          <w:noProof/>
        </w:rPr>
        <mc:AlternateContent>
          <mc:Choice Requires="wps">
            <w:drawing>
              <wp:anchor distT="0" distB="0" distL="114300" distR="114300" simplePos="0" relativeHeight="251659264" behindDoc="0" locked="0" layoutInCell="1" allowOverlap="1" wp14:anchorId="06322869" wp14:editId="4200CB7B">
                <wp:simplePos x="0" y="0"/>
                <wp:positionH relativeFrom="page">
                  <wp:posOffset>1077907</wp:posOffset>
                </wp:positionH>
                <wp:positionV relativeFrom="paragraph">
                  <wp:posOffset>2758128</wp:posOffset>
                </wp:positionV>
                <wp:extent cx="5404976" cy="871268"/>
                <wp:effectExtent l="0" t="0" r="571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976" cy="871268"/>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E85F5" w14:textId="77777777" w:rsidR="00501BB0" w:rsidRDefault="00501BB0" w:rsidP="00501BB0">
                            <w:pPr>
                              <w:pStyle w:val="BodyText"/>
                              <w:spacing w:before="2"/>
                              <w:rPr>
                                <w:sz w:val="19"/>
                              </w:rPr>
                            </w:pPr>
                          </w:p>
                          <w:p w14:paraId="2045BBDB" w14:textId="77777777" w:rsidR="00501BB0" w:rsidRDefault="00501BB0" w:rsidP="00C46281">
                            <w:pPr>
                              <w:ind w:left="113"/>
                            </w:pPr>
                            <w:r>
                              <w:t>This factsheet provides a summary of the</w:t>
                            </w:r>
                            <w:r>
                              <w:rPr>
                                <w:spacing w:val="1"/>
                              </w:rPr>
                              <w:t xml:space="preserve"> </w:t>
                            </w:r>
                            <w:r>
                              <w:t>relevant law and tries to avoid legal language</w:t>
                            </w:r>
                            <w:r>
                              <w:rPr>
                                <w:spacing w:val="1"/>
                              </w:rPr>
                              <w:t xml:space="preserve"> </w:t>
                            </w:r>
                            <w:r>
                              <w:t>wherever possible. Some provisions of the law</w:t>
                            </w:r>
                            <w:r>
                              <w:rPr>
                                <w:spacing w:val="-38"/>
                              </w:rPr>
                              <w:t xml:space="preserve"> </w:t>
                            </w:r>
                            <w:r>
                              <w:t>referred to have exceptions or important</w:t>
                            </w:r>
                            <w:r>
                              <w:rPr>
                                <w:spacing w:val="1"/>
                              </w:rPr>
                              <w:t xml:space="preserve"> </w:t>
                            </w:r>
                            <w:r>
                              <w:t>qualifications. This factsheet is therefore not a</w:t>
                            </w:r>
                            <w:r>
                              <w:rPr>
                                <w:spacing w:val="-38"/>
                              </w:rPr>
                              <w:t xml:space="preserve"> </w:t>
                            </w:r>
                            <w:r>
                              <w:t>substitute</w:t>
                            </w:r>
                            <w:r>
                              <w:rPr>
                                <w:spacing w:val="-4"/>
                              </w:rPr>
                              <w:t xml:space="preserve"> </w:t>
                            </w:r>
                            <w:r>
                              <w:t>for</w:t>
                            </w:r>
                            <w:r>
                              <w:rPr>
                                <w:spacing w:val="-4"/>
                              </w:rPr>
                              <w:t xml:space="preserve"> </w:t>
                            </w:r>
                            <w:r>
                              <w:t>obtaining</w:t>
                            </w:r>
                            <w:r>
                              <w:rPr>
                                <w:spacing w:val="-3"/>
                              </w:rPr>
                              <w:t xml:space="preserve"> </w:t>
                            </w:r>
                            <w:r>
                              <w:t>your</w:t>
                            </w:r>
                            <w:r>
                              <w:rPr>
                                <w:spacing w:val="-3"/>
                              </w:rPr>
                              <w:t xml:space="preserve"> </w:t>
                            </w:r>
                            <w:r>
                              <w:t>own</w:t>
                            </w:r>
                            <w:r>
                              <w:rPr>
                                <w:spacing w:val="-6"/>
                              </w:rPr>
                              <w:t xml:space="preserve"> </w:t>
                            </w:r>
                            <w:r>
                              <w:t>legal</w:t>
                            </w:r>
                            <w:r>
                              <w:rPr>
                                <w:spacing w:val="-3"/>
                              </w:rPr>
                              <w:t xml:space="preserve"> </w:t>
                            </w:r>
                            <w: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22869" id="_x0000_t202" coordsize="21600,21600" o:spt="202" path="m,l,21600r21600,l21600,xe">
                <v:stroke joinstyle="miter"/>
                <v:path gradientshapeok="t" o:connecttype="rect"/>
              </v:shapetype>
              <v:shape id="Text Box 2" o:spid="_x0000_s1026" type="#_x0000_t202" style="position:absolute;margin-left:84.85pt;margin-top:217.2pt;width:425.6pt;height:6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" fillcolor="#ededed" stroked="f">
                <v:textbox inset="0,0,0,0">
                  <w:txbxContent>
                    <w:p w14:paraId="175E85F5" w14:textId="77777777" w:rsidR="00501BB0" w:rsidRDefault="00501BB0" w:rsidP="00501BB0">
                      <w:pPr>
                        <w:pStyle w:val="BodyText"/>
                        <w:spacing w:before="2"/>
                        <w:rPr>
                          <w:sz w:val="19"/>
                        </w:rPr>
                      </w:pPr>
                    </w:p>
                    <w:p w14:paraId="2045BBDB" w14:textId="77777777" w:rsidR="00501BB0" w:rsidRDefault="00501BB0" w:rsidP="00C46281">
                      <w:pPr>
                        <w:ind w:left="113"/>
                      </w:pPr>
                      <w:r>
                        <w:t>This factsheet provides a summary of the</w:t>
                      </w:r>
                      <w:r>
                        <w:rPr>
                          <w:spacing w:val="1"/>
                        </w:rPr>
                        <w:t xml:space="preserve"> </w:t>
                      </w:r>
                      <w:r>
                        <w:t>relevant law and tries to avoid legal language</w:t>
                      </w:r>
                      <w:r>
                        <w:rPr>
                          <w:spacing w:val="1"/>
                        </w:rPr>
                        <w:t xml:space="preserve"> </w:t>
                      </w:r>
                      <w:r>
                        <w:t>wherever possible. Some provisions of the law</w:t>
                      </w:r>
                      <w:r>
                        <w:rPr>
                          <w:spacing w:val="-38"/>
                        </w:rPr>
                        <w:t xml:space="preserve"> </w:t>
                      </w:r>
                      <w:r>
                        <w:t>referred to have exceptions or important</w:t>
                      </w:r>
                      <w:r>
                        <w:rPr>
                          <w:spacing w:val="1"/>
                        </w:rPr>
                        <w:t xml:space="preserve"> </w:t>
                      </w:r>
                      <w:r>
                        <w:t>qualifications. This factsheet is therefore not a</w:t>
                      </w:r>
                      <w:r>
                        <w:rPr>
                          <w:spacing w:val="-38"/>
                        </w:rPr>
                        <w:t xml:space="preserve"> </w:t>
                      </w:r>
                      <w:r>
                        <w:t>substitute</w:t>
                      </w:r>
                      <w:r>
                        <w:rPr>
                          <w:spacing w:val="-4"/>
                        </w:rPr>
                        <w:t xml:space="preserve"> </w:t>
                      </w:r>
                      <w:r>
                        <w:t>for</w:t>
                      </w:r>
                      <w:r>
                        <w:rPr>
                          <w:spacing w:val="-4"/>
                        </w:rPr>
                        <w:t xml:space="preserve"> </w:t>
                      </w:r>
                      <w:r>
                        <w:t>obtaining</w:t>
                      </w:r>
                      <w:r>
                        <w:rPr>
                          <w:spacing w:val="-3"/>
                        </w:rPr>
                        <w:t xml:space="preserve"> </w:t>
                      </w:r>
                      <w:r>
                        <w:t>your</w:t>
                      </w:r>
                      <w:r>
                        <w:rPr>
                          <w:spacing w:val="-3"/>
                        </w:rPr>
                        <w:t xml:space="preserve"> </w:t>
                      </w:r>
                      <w:r>
                        <w:t>own</w:t>
                      </w:r>
                      <w:r>
                        <w:rPr>
                          <w:spacing w:val="-6"/>
                        </w:rPr>
                        <w:t xml:space="preserve"> </w:t>
                      </w:r>
                      <w:r>
                        <w:t>legal</w:t>
                      </w:r>
                      <w:r>
                        <w:rPr>
                          <w:spacing w:val="-3"/>
                        </w:rPr>
                        <w:t xml:space="preserve"> </w:t>
                      </w:r>
                      <w:r>
                        <w:t>advice.</w:t>
                      </w:r>
                    </w:p>
                  </w:txbxContent>
                </v:textbox>
                <w10:wrap anchorx="page"/>
              </v:shape>
            </w:pict>
          </mc:Fallback>
        </mc:AlternateContent>
      </w:r>
      <w:r w:rsidR="00501BB0">
        <w:t>You</w:t>
      </w:r>
      <w:r w:rsidR="00501BB0">
        <w:rPr>
          <w:spacing w:val="-2"/>
        </w:rPr>
        <w:t xml:space="preserve"> </w:t>
      </w:r>
      <w:r w:rsidR="00501BB0">
        <w:t>can</w:t>
      </w:r>
      <w:r w:rsidR="00501BB0">
        <w:rPr>
          <w:spacing w:val="-3"/>
        </w:rPr>
        <w:t xml:space="preserve"> </w:t>
      </w:r>
      <w:r w:rsidR="00501BB0">
        <w:t>contact</w:t>
      </w:r>
      <w:r w:rsidR="00501BB0">
        <w:rPr>
          <w:spacing w:val="-1"/>
        </w:rPr>
        <w:t xml:space="preserve"> </w:t>
      </w:r>
      <w:r w:rsidR="00501BB0">
        <w:t>us</w:t>
      </w:r>
      <w:r w:rsidR="00501BB0">
        <w:rPr>
          <w:spacing w:val="-2"/>
        </w:rPr>
        <w:t xml:space="preserve"> </w:t>
      </w:r>
      <w:r w:rsidR="00501BB0">
        <w:t>on</w:t>
      </w:r>
      <w:r w:rsidR="00501BB0">
        <w:rPr>
          <w:spacing w:val="-3"/>
        </w:rPr>
        <w:t xml:space="preserve"> </w:t>
      </w:r>
      <w:r w:rsidR="00501BB0">
        <w:t>1800</w:t>
      </w:r>
      <w:r w:rsidR="00501BB0">
        <w:rPr>
          <w:spacing w:val="-1"/>
        </w:rPr>
        <w:t xml:space="preserve"> </w:t>
      </w:r>
      <w:r w:rsidR="00501BB0">
        <w:t>050</w:t>
      </w:r>
      <w:r w:rsidR="00501BB0">
        <w:rPr>
          <w:spacing w:val="-2"/>
        </w:rPr>
        <w:t xml:space="preserve"> </w:t>
      </w:r>
      <w:r w:rsidR="00501BB0">
        <w:t>377</w:t>
      </w:r>
      <w:r w:rsidR="00501BB0">
        <w:rPr>
          <w:spacing w:val="-2"/>
        </w:rPr>
        <w:t xml:space="preserve"> </w:t>
      </w:r>
      <w:r w:rsidR="00501BB0">
        <w:t>from</w:t>
      </w:r>
      <w:r w:rsidR="00501BB0">
        <w:rPr>
          <w:spacing w:val="-2"/>
        </w:rPr>
        <w:t xml:space="preserve"> </w:t>
      </w:r>
      <w:r w:rsidR="00501BB0">
        <w:t>Australia</w:t>
      </w:r>
      <w:r w:rsidR="00501BB0">
        <w:rPr>
          <w:spacing w:val="-3"/>
        </w:rPr>
        <w:t xml:space="preserve"> </w:t>
      </w:r>
      <w:r w:rsidR="00501BB0">
        <w:t>or</w:t>
      </w:r>
      <w:r>
        <w:t xml:space="preserve"> </w:t>
      </w:r>
      <w:r w:rsidR="00501BB0">
        <w:t>+61</w:t>
      </w:r>
      <w:r w:rsidR="00501BB0">
        <w:rPr>
          <w:spacing w:val="-2"/>
        </w:rPr>
        <w:t xml:space="preserve"> </w:t>
      </w:r>
      <w:r w:rsidR="00501BB0">
        <w:t>2</w:t>
      </w:r>
      <w:r w:rsidR="00501BB0">
        <w:rPr>
          <w:spacing w:val="-1"/>
        </w:rPr>
        <w:t xml:space="preserve"> </w:t>
      </w:r>
      <w:r w:rsidR="00501BB0">
        <w:t>6216</w:t>
      </w:r>
      <w:r w:rsidR="00501BB0">
        <w:rPr>
          <w:spacing w:val="-1"/>
        </w:rPr>
        <w:t xml:space="preserve"> </w:t>
      </w:r>
      <w:r w:rsidR="00501BB0">
        <w:t>1111</w:t>
      </w:r>
      <w:r w:rsidR="00501BB0">
        <w:rPr>
          <w:spacing w:val="-1"/>
        </w:rPr>
        <w:t xml:space="preserve"> </w:t>
      </w:r>
      <w:r w:rsidR="00501BB0">
        <w:t>from</w:t>
      </w:r>
      <w:r w:rsidR="00501BB0">
        <w:rPr>
          <w:spacing w:val="-3"/>
        </w:rPr>
        <w:t xml:space="preserve"> </w:t>
      </w:r>
      <w:r w:rsidR="00501BB0">
        <w:t>overseas.</w:t>
      </w:r>
      <w:bookmarkEnd w:id="0"/>
    </w:p>
    <w:sectPr w:rsidR="00501BB0" w:rsidSect="00300C95">
      <w:headerReference w:type="default" r:id="rId21"/>
      <w:footerReference w:type="default" r:id="rId22"/>
      <w:headerReference w:type="first" r:id="rId23"/>
      <w:footerReference w:type="first" r:id="rId24"/>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E3B1" w14:textId="77777777" w:rsidR="00FC3480" w:rsidRDefault="00FC3480" w:rsidP="00886BC4">
      <w:r>
        <w:separator/>
      </w:r>
    </w:p>
    <w:p w14:paraId="285FFEB4" w14:textId="77777777" w:rsidR="00FC3480" w:rsidRDefault="00FC3480"/>
  </w:endnote>
  <w:endnote w:type="continuationSeparator" w:id="0">
    <w:p w14:paraId="74035247" w14:textId="77777777" w:rsidR="00FC3480" w:rsidRDefault="00FC3480" w:rsidP="00886BC4">
      <w:r>
        <w:continuationSeparator/>
      </w:r>
    </w:p>
    <w:p w14:paraId="3E786441" w14:textId="77777777" w:rsidR="00FC3480" w:rsidRDefault="00FC3480"/>
  </w:endnote>
  <w:endnote w:type="continuationNotice" w:id="1">
    <w:p w14:paraId="581A472C" w14:textId="77777777" w:rsidR="00FC3480" w:rsidRDefault="00FC3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65B76218" w:rsidR="00A15DB7" w:rsidRPr="000C06D0" w:rsidRDefault="000C06D0" w:rsidP="000C06D0">
    <w:pPr>
      <w:pStyle w:val="Footer"/>
      <w:tabs>
        <w:tab w:val="clear" w:pos="4320"/>
      </w:tabs>
      <w:jc w:val="right"/>
    </w:pPr>
    <w:r w:rsidRPr="00AC3B66">
      <w:rPr>
        <w:noProof/>
        <w:position w:val="-10"/>
      </w:rPr>
      <w:drawing>
        <wp:inline distT="0" distB="0" distL="0" distR="0" wp14:anchorId="146C852D" wp14:editId="223DC60C">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tab/>
    </w:r>
    <w:r w:rsidRPr="00565A52">
      <w:t xml:space="preserve">Last updated: </w:t>
    </w:r>
    <w:r w:rsidR="00C41C4D">
      <w:t>20</w:t>
    </w:r>
    <w:r>
      <w:t xml:space="preserve"> J</w:t>
    </w:r>
    <w:r w:rsidR="00C46281">
      <w:t>u</w:t>
    </w:r>
    <w:r>
      <w:t>n</w:t>
    </w:r>
    <w:r w:rsidR="00C46281">
      <w:t>e</w:t>
    </w:r>
    <w:r>
      <w:t xml:space="preserve"> 2023 | </w:t>
    </w:r>
    <w:r w:rsidRPr="00565A52">
      <w:t xml:space="preserve"> </w:t>
    </w:r>
    <w:r w:rsidRPr="00565A52">
      <w:fldChar w:fldCharType="begin"/>
    </w:r>
    <w:r w:rsidRPr="00565A52">
      <w:instrText xml:space="preserve"> PAGE   \* MERGEFORMAT </w:instrText>
    </w:r>
    <w:r w:rsidRPr="00565A52">
      <w:fldChar w:fldCharType="separate"/>
    </w:r>
    <w:r>
      <w:t>3</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14F58DB0" w:rsidR="00300C95" w:rsidRPr="00E81A92" w:rsidRDefault="000C06D0" w:rsidP="00BA123B">
    <w:pPr>
      <w:pStyle w:val="Footer"/>
      <w:tabs>
        <w:tab w:val="clear" w:pos="4320"/>
        <w:tab w:val="clear" w:pos="8640"/>
        <w:tab w:val="center" w:pos="7938"/>
      </w:tabs>
      <w:jc w:val="right"/>
    </w:pPr>
    <w:r w:rsidRPr="00AC3B66">
      <w:rPr>
        <w:noProof/>
        <w:position w:val="-10"/>
      </w:rPr>
      <w:drawing>
        <wp:inline distT="0" distB="0" distL="0" distR="0" wp14:anchorId="79AA62F6" wp14:editId="18A37E9E">
          <wp:extent cx="2178000" cy="201600"/>
          <wp:effectExtent l="0" t="0" r="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E81A92" w:rsidRPr="00565A52">
      <w:t xml:space="preserve">Last updated: </w:t>
    </w:r>
    <w:r w:rsidR="008A6918">
      <w:t>20</w:t>
    </w:r>
    <w:r w:rsidR="00D56210">
      <w:t xml:space="preserve"> Ju</w:t>
    </w:r>
    <w:r w:rsidR="00A24B57">
      <w:t>ne</w:t>
    </w:r>
    <w:r w:rsidR="00D56210">
      <w:t xml:space="preserve"> 202</w:t>
    </w:r>
    <w:r w:rsidR="00A24B57">
      <w:t>3</w:t>
    </w:r>
    <w:r w:rsidR="00E81A92">
      <w:t xml:space="preserve"> | </w:t>
    </w:r>
    <w:r w:rsidR="00E81A92" w:rsidRPr="00565A5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1ACA" w14:textId="77777777" w:rsidR="00FC3480" w:rsidRDefault="00FC3480" w:rsidP="00886BC4">
      <w:r>
        <w:separator/>
      </w:r>
    </w:p>
  </w:footnote>
  <w:footnote w:type="continuationSeparator" w:id="0">
    <w:p w14:paraId="33899132" w14:textId="77777777" w:rsidR="00FC3480" w:rsidRDefault="00FC3480" w:rsidP="00886BC4">
      <w:r>
        <w:continuationSeparator/>
      </w:r>
    </w:p>
    <w:p w14:paraId="3F94012F" w14:textId="77777777" w:rsidR="00FC3480" w:rsidRDefault="00FC3480"/>
  </w:footnote>
  <w:footnote w:type="continuationNotice" w:id="1">
    <w:p w14:paraId="51761F3C" w14:textId="77777777" w:rsidR="00FC3480" w:rsidRDefault="00FC3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F8DA801" w:rsidR="006D3EE7" w:rsidRPr="007F53C0" w:rsidRDefault="0018635D" w:rsidP="007F53C0">
    <w:pPr>
      <w:pStyle w:val="Header"/>
    </w:pPr>
    <w:r w:rsidRPr="0018635D">
      <w:t xml:space="preserve">Your compliance obligations under the </w:t>
    </w:r>
    <w:r w:rsidRPr="0018635D">
      <w:rPr>
        <w:i/>
        <w:iCs/>
      </w:rPr>
      <w:t>Foreign Acquisitions and Takeovers Act 1975</w:t>
    </w:r>
    <w:r w:rsidR="00FC2E34" w:rsidRPr="0018635D">
      <w:rPr>
        <w:i/>
        <w:iCs/>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A4B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7F3614"/>
    <w:multiLevelType w:val="multilevel"/>
    <w:tmpl w:val="788E72A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7"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7C276E0"/>
    <w:multiLevelType w:val="hybridMultilevel"/>
    <w:tmpl w:val="DF7E8436"/>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46E4F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EDF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637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A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5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6E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8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A75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1F7317"/>
    <w:multiLevelType w:val="multilevel"/>
    <w:tmpl w:val="88A218E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FC4572"/>
    <w:multiLevelType w:val="multilevel"/>
    <w:tmpl w:val="A2E22EE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0E926D3"/>
    <w:multiLevelType w:val="hybridMultilevel"/>
    <w:tmpl w:val="2B3E337E"/>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A99AF5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4C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25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826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1EC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5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81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5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6470A04"/>
    <w:multiLevelType w:val="multilevel"/>
    <w:tmpl w:val="D924CDF6"/>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6675990"/>
    <w:multiLevelType w:val="hybridMultilevel"/>
    <w:tmpl w:val="4F9686DA"/>
    <w:lvl w:ilvl="0" w:tplc="FC026EC0">
      <w:numFmt w:val="bullet"/>
      <w:lvlText w:val="•"/>
      <w:lvlJc w:val="left"/>
      <w:pPr>
        <w:ind w:left="488" w:hanging="171"/>
      </w:pPr>
      <w:rPr>
        <w:rFonts w:ascii="Times New Roman" w:eastAsia="Times New Roman" w:hAnsi="Times New Roman" w:cs="Times New Roman" w:hint="default"/>
        <w:w w:val="100"/>
        <w:sz w:val="18"/>
        <w:szCs w:val="18"/>
        <w:lang w:val="en-US" w:eastAsia="en-US" w:bidi="ar-SA"/>
      </w:rPr>
    </w:lvl>
    <w:lvl w:ilvl="1" w:tplc="59D0F080">
      <w:numFmt w:val="bullet"/>
      <w:lvlText w:val="•"/>
      <w:lvlJc w:val="left"/>
      <w:pPr>
        <w:ind w:left="1772" w:hanging="171"/>
      </w:pPr>
      <w:rPr>
        <w:rFonts w:ascii="Times New Roman" w:eastAsia="Times New Roman" w:hAnsi="Times New Roman" w:cs="Times New Roman" w:hint="default"/>
        <w:w w:val="100"/>
        <w:sz w:val="18"/>
        <w:szCs w:val="18"/>
        <w:lang w:val="en-US" w:eastAsia="en-US" w:bidi="ar-SA"/>
      </w:rPr>
    </w:lvl>
    <w:lvl w:ilvl="2" w:tplc="F3E2BF02">
      <w:numFmt w:val="bullet"/>
      <w:lvlText w:val="•"/>
      <w:lvlJc w:val="left"/>
      <w:pPr>
        <w:ind w:left="1571" w:hanging="171"/>
      </w:pPr>
      <w:rPr>
        <w:rFonts w:hint="default"/>
        <w:lang w:val="en-US" w:eastAsia="en-US" w:bidi="ar-SA"/>
      </w:rPr>
    </w:lvl>
    <w:lvl w:ilvl="3" w:tplc="62CCBF2A">
      <w:numFmt w:val="bullet"/>
      <w:lvlText w:val="•"/>
      <w:lvlJc w:val="left"/>
      <w:pPr>
        <w:ind w:left="1363" w:hanging="171"/>
      </w:pPr>
      <w:rPr>
        <w:rFonts w:hint="default"/>
        <w:lang w:val="en-US" w:eastAsia="en-US" w:bidi="ar-SA"/>
      </w:rPr>
    </w:lvl>
    <w:lvl w:ilvl="4" w:tplc="3120248C">
      <w:numFmt w:val="bullet"/>
      <w:lvlText w:val="•"/>
      <w:lvlJc w:val="left"/>
      <w:pPr>
        <w:ind w:left="1155" w:hanging="171"/>
      </w:pPr>
      <w:rPr>
        <w:rFonts w:hint="default"/>
        <w:lang w:val="en-US" w:eastAsia="en-US" w:bidi="ar-SA"/>
      </w:rPr>
    </w:lvl>
    <w:lvl w:ilvl="5" w:tplc="5C269988">
      <w:numFmt w:val="bullet"/>
      <w:lvlText w:val="•"/>
      <w:lvlJc w:val="left"/>
      <w:pPr>
        <w:ind w:left="947" w:hanging="171"/>
      </w:pPr>
      <w:rPr>
        <w:rFonts w:hint="default"/>
        <w:lang w:val="en-US" w:eastAsia="en-US" w:bidi="ar-SA"/>
      </w:rPr>
    </w:lvl>
    <w:lvl w:ilvl="6" w:tplc="8FA89E06">
      <w:numFmt w:val="bullet"/>
      <w:lvlText w:val="•"/>
      <w:lvlJc w:val="left"/>
      <w:pPr>
        <w:ind w:left="739" w:hanging="171"/>
      </w:pPr>
      <w:rPr>
        <w:rFonts w:hint="default"/>
        <w:lang w:val="en-US" w:eastAsia="en-US" w:bidi="ar-SA"/>
      </w:rPr>
    </w:lvl>
    <w:lvl w:ilvl="7" w:tplc="D9A8A48E">
      <w:numFmt w:val="bullet"/>
      <w:lvlText w:val="•"/>
      <w:lvlJc w:val="left"/>
      <w:pPr>
        <w:ind w:left="531" w:hanging="171"/>
      </w:pPr>
      <w:rPr>
        <w:rFonts w:hint="default"/>
        <w:lang w:val="en-US" w:eastAsia="en-US" w:bidi="ar-SA"/>
      </w:rPr>
    </w:lvl>
    <w:lvl w:ilvl="8" w:tplc="694E772C">
      <w:numFmt w:val="bullet"/>
      <w:lvlText w:val="•"/>
      <w:lvlJc w:val="left"/>
      <w:pPr>
        <w:ind w:left="323" w:hanging="171"/>
      </w:pPr>
      <w:rPr>
        <w:rFonts w:hint="default"/>
        <w:lang w:val="en-US" w:eastAsia="en-US" w:bidi="ar-SA"/>
      </w:rPr>
    </w:lvl>
  </w:abstractNum>
  <w:abstractNum w:abstractNumId="16" w15:restartNumberingAfterBreak="0">
    <w:nsid w:val="3C960DCC"/>
    <w:multiLevelType w:val="hybridMultilevel"/>
    <w:tmpl w:val="08DE8E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C814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E6763"/>
    <w:multiLevelType w:val="hybridMultilevel"/>
    <w:tmpl w:val="818EC1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58882F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441673"/>
    <w:multiLevelType w:val="multilevel"/>
    <w:tmpl w:val="CC9C2B7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CFA"/>
    <w:multiLevelType w:val="hybridMultilevel"/>
    <w:tmpl w:val="8EA8458E"/>
    <w:lvl w:ilvl="0" w:tplc="E362D6D2">
      <w:start w:val="1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E6144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DF7058"/>
    <w:multiLevelType w:val="hybridMultilevel"/>
    <w:tmpl w:val="88C0C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493CBD"/>
    <w:multiLevelType w:val="multilevel"/>
    <w:tmpl w:val="83D2728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3"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03693F"/>
    <w:multiLevelType w:val="hybridMultilevel"/>
    <w:tmpl w:val="D92E33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40254638">
    <w:abstractNumId w:val="4"/>
  </w:num>
  <w:num w:numId="2" w16cid:durableId="277031847">
    <w:abstractNumId w:val="31"/>
  </w:num>
  <w:num w:numId="3" w16cid:durableId="3069013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801242">
    <w:abstractNumId w:val="2"/>
  </w:num>
  <w:num w:numId="5" w16cid:durableId="370417843">
    <w:abstractNumId w:val="11"/>
  </w:num>
  <w:num w:numId="6" w16cid:durableId="1661084142">
    <w:abstractNumId w:val="13"/>
  </w:num>
  <w:num w:numId="7" w16cid:durableId="1364164556">
    <w:abstractNumId w:val="30"/>
  </w:num>
  <w:num w:numId="8" w16cid:durableId="2104648328">
    <w:abstractNumId w:val="32"/>
  </w:num>
  <w:num w:numId="9" w16cid:durableId="1494444661">
    <w:abstractNumId w:val="19"/>
  </w:num>
  <w:num w:numId="10" w16cid:durableId="1583296559">
    <w:abstractNumId w:val="6"/>
  </w:num>
  <w:num w:numId="11" w16cid:durableId="516775405">
    <w:abstractNumId w:val="5"/>
  </w:num>
  <w:num w:numId="12" w16cid:durableId="4669694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90481">
    <w:abstractNumId w:val="25"/>
  </w:num>
  <w:num w:numId="14" w16cid:durableId="634600939">
    <w:abstractNumId w:val="29"/>
  </w:num>
  <w:num w:numId="15" w16cid:durableId="430587930">
    <w:abstractNumId w:val="18"/>
  </w:num>
  <w:num w:numId="16" w16cid:durableId="1956323275">
    <w:abstractNumId w:val="8"/>
  </w:num>
  <w:num w:numId="17" w16cid:durableId="2020157117">
    <w:abstractNumId w:val="12"/>
  </w:num>
  <w:num w:numId="18" w16cid:durableId="1822428365">
    <w:abstractNumId w:val="10"/>
  </w:num>
  <w:num w:numId="19" w16cid:durableId="1116633801">
    <w:abstractNumId w:val="10"/>
  </w:num>
  <w:num w:numId="20" w16cid:durableId="1766925934">
    <w:abstractNumId w:val="27"/>
  </w:num>
  <w:num w:numId="21" w16cid:durableId="1516462162">
    <w:abstractNumId w:val="26"/>
  </w:num>
  <w:num w:numId="22" w16cid:durableId="1924148234">
    <w:abstractNumId w:val="16"/>
  </w:num>
  <w:num w:numId="23" w16cid:durableId="1349218325">
    <w:abstractNumId w:val="14"/>
  </w:num>
  <w:num w:numId="24" w16cid:durableId="334109879">
    <w:abstractNumId w:val="20"/>
  </w:num>
  <w:num w:numId="25" w16cid:durableId="1288009146">
    <w:abstractNumId w:val="17"/>
  </w:num>
  <w:num w:numId="26" w16cid:durableId="1469128544">
    <w:abstractNumId w:val="23"/>
  </w:num>
  <w:num w:numId="27" w16cid:durableId="1856142122">
    <w:abstractNumId w:val="22"/>
  </w:num>
  <w:num w:numId="28" w16cid:durableId="1768303067">
    <w:abstractNumId w:val="28"/>
  </w:num>
  <w:num w:numId="29" w16cid:durableId="210456844">
    <w:abstractNumId w:val="1"/>
  </w:num>
  <w:num w:numId="30" w16cid:durableId="79259161">
    <w:abstractNumId w:val="3"/>
  </w:num>
  <w:num w:numId="31" w16cid:durableId="2143813924">
    <w:abstractNumId w:val="34"/>
  </w:num>
  <w:num w:numId="32" w16cid:durableId="1635329402">
    <w:abstractNumId w:val="24"/>
  </w:num>
  <w:num w:numId="33" w16cid:durableId="527068347">
    <w:abstractNumId w:val="0"/>
  </w:num>
  <w:num w:numId="34" w16cid:durableId="853376653">
    <w:abstractNumId w:val="9"/>
  </w:num>
  <w:num w:numId="35" w16cid:durableId="1266156602">
    <w:abstractNumId w:val="21"/>
  </w:num>
  <w:num w:numId="36" w16cid:durableId="1432622734">
    <w:abstractNumId w:val="7"/>
  </w:num>
  <w:num w:numId="37" w16cid:durableId="37455177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161F9"/>
    <w:rsid w:val="00016670"/>
    <w:rsid w:val="00016B6C"/>
    <w:rsid w:val="0002151A"/>
    <w:rsid w:val="0002189A"/>
    <w:rsid w:val="00033942"/>
    <w:rsid w:val="000421F9"/>
    <w:rsid w:val="00045C24"/>
    <w:rsid w:val="00060493"/>
    <w:rsid w:val="00060C76"/>
    <w:rsid w:val="00067E65"/>
    <w:rsid w:val="000753CE"/>
    <w:rsid w:val="00075A6F"/>
    <w:rsid w:val="000849B1"/>
    <w:rsid w:val="000919DA"/>
    <w:rsid w:val="000A4D2D"/>
    <w:rsid w:val="000B1EC3"/>
    <w:rsid w:val="000B3C90"/>
    <w:rsid w:val="000C02C9"/>
    <w:rsid w:val="000C06D0"/>
    <w:rsid w:val="000D33F2"/>
    <w:rsid w:val="000D7D2F"/>
    <w:rsid w:val="000E324C"/>
    <w:rsid w:val="000F2493"/>
    <w:rsid w:val="000F2562"/>
    <w:rsid w:val="000F33C9"/>
    <w:rsid w:val="000F5D59"/>
    <w:rsid w:val="00102238"/>
    <w:rsid w:val="00105BF3"/>
    <w:rsid w:val="00105EBE"/>
    <w:rsid w:val="001145FD"/>
    <w:rsid w:val="00115B2E"/>
    <w:rsid w:val="0011628E"/>
    <w:rsid w:val="00131B38"/>
    <w:rsid w:val="001363E7"/>
    <w:rsid w:val="00136ED0"/>
    <w:rsid w:val="001376CC"/>
    <w:rsid w:val="00140697"/>
    <w:rsid w:val="0014178A"/>
    <w:rsid w:val="001421A1"/>
    <w:rsid w:val="001423F2"/>
    <w:rsid w:val="00144B84"/>
    <w:rsid w:val="0015143F"/>
    <w:rsid w:val="00162DFD"/>
    <w:rsid w:val="00166A45"/>
    <w:rsid w:val="00174954"/>
    <w:rsid w:val="00182E9E"/>
    <w:rsid w:val="00183F40"/>
    <w:rsid w:val="0018635D"/>
    <w:rsid w:val="00190D7B"/>
    <w:rsid w:val="00192367"/>
    <w:rsid w:val="001929D8"/>
    <w:rsid w:val="00197414"/>
    <w:rsid w:val="001A5155"/>
    <w:rsid w:val="001A5DCC"/>
    <w:rsid w:val="001B3A29"/>
    <w:rsid w:val="001B540E"/>
    <w:rsid w:val="001B702A"/>
    <w:rsid w:val="001C5117"/>
    <w:rsid w:val="001C78AE"/>
    <w:rsid w:val="001D45A4"/>
    <w:rsid w:val="001E5623"/>
    <w:rsid w:val="001E6DC2"/>
    <w:rsid w:val="001E7840"/>
    <w:rsid w:val="001E7CF5"/>
    <w:rsid w:val="001F50DA"/>
    <w:rsid w:val="00203245"/>
    <w:rsid w:val="00205F44"/>
    <w:rsid w:val="002105F8"/>
    <w:rsid w:val="002156B0"/>
    <w:rsid w:val="00215EE7"/>
    <w:rsid w:val="00223D87"/>
    <w:rsid w:val="002268AB"/>
    <w:rsid w:val="00226F00"/>
    <w:rsid w:val="0022749C"/>
    <w:rsid w:val="00227C77"/>
    <w:rsid w:val="00233887"/>
    <w:rsid w:val="00233A88"/>
    <w:rsid w:val="00241A2C"/>
    <w:rsid w:val="00241B9A"/>
    <w:rsid w:val="0024226F"/>
    <w:rsid w:val="00245342"/>
    <w:rsid w:val="00245E1D"/>
    <w:rsid w:val="002462BD"/>
    <w:rsid w:val="00260712"/>
    <w:rsid w:val="00263339"/>
    <w:rsid w:val="002809F6"/>
    <w:rsid w:val="00283303"/>
    <w:rsid w:val="00285D8A"/>
    <w:rsid w:val="00287F32"/>
    <w:rsid w:val="00291016"/>
    <w:rsid w:val="0029134D"/>
    <w:rsid w:val="002978C8"/>
    <w:rsid w:val="002A0B32"/>
    <w:rsid w:val="002A4B83"/>
    <w:rsid w:val="002A6430"/>
    <w:rsid w:val="002A79C5"/>
    <w:rsid w:val="002C26D9"/>
    <w:rsid w:val="002D49D1"/>
    <w:rsid w:val="002F417B"/>
    <w:rsid w:val="002F6ADC"/>
    <w:rsid w:val="00300C95"/>
    <w:rsid w:val="003054A8"/>
    <w:rsid w:val="00306770"/>
    <w:rsid w:val="00307DA3"/>
    <w:rsid w:val="00327D31"/>
    <w:rsid w:val="003305CA"/>
    <w:rsid w:val="0034064A"/>
    <w:rsid w:val="0034564D"/>
    <w:rsid w:val="00353390"/>
    <w:rsid w:val="00357842"/>
    <w:rsid w:val="00366EA1"/>
    <w:rsid w:val="003715C7"/>
    <w:rsid w:val="00372AC1"/>
    <w:rsid w:val="003802F4"/>
    <w:rsid w:val="003831AB"/>
    <w:rsid w:val="00386CA2"/>
    <w:rsid w:val="00390C06"/>
    <w:rsid w:val="003A3389"/>
    <w:rsid w:val="003A3A7B"/>
    <w:rsid w:val="003A63D1"/>
    <w:rsid w:val="003C047D"/>
    <w:rsid w:val="003C17E4"/>
    <w:rsid w:val="003C2FEF"/>
    <w:rsid w:val="003C4F86"/>
    <w:rsid w:val="003C789B"/>
    <w:rsid w:val="003E26C5"/>
    <w:rsid w:val="003F2E2F"/>
    <w:rsid w:val="003F424B"/>
    <w:rsid w:val="003F53AE"/>
    <w:rsid w:val="00406DB4"/>
    <w:rsid w:val="004113FF"/>
    <w:rsid w:val="00413604"/>
    <w:rsid w:val="00421581"/>
    <w:rsid w:val="00425E05"/>
    <w:rsid w:val="00430168"/>
    <w:rsid w:val="00442C7E"/>
    <w:rsid w:val="00450CCE"/>
    <w:rsid w:val="004542B7"/>
    <w:rsid w:val="004546DC"/>
    <w:rsid w:val="00463D4E"/>
    <w:rsid w:val="00464155"/>
    <w:rsid w:val="00470BA0"/>
    <w:rsid w:val="0047507F"/>
    <w:rsid w:val="00477439"/>
    <w:rsid w:val="00477814"/>
    <w:rsid w:val="00485A3D"/>
    <w:rsid w:val="00486B7C"/>
    <w:rsid w:val="00490C62"/>
    <w:rsid w:val="00496135"/>
    <w:rsid w:val="0049673E"/>
    <w:rsid w:val="00496C34"/>
    <w:rsid w:val="004A2AFD"/>
    <w:rsid w:val="004A37EA"/>
    <w:rsid w:val="004A4424"/>
    <w:rsid w:val="004B08DC"/>
    <w:rsid w:val="004B1102"/>
    <w:rsid w:val="004B1F82"/>
    <w:rsid w:val="004B56B0"/>
    <w:rsid w:val="004C5917"/>
    <w:rsid w:val="004C5E48"/>
    <w:rsid w:val="004D0778"/>
    <w:rsid w:val="004D75F6"/>
    <w:rsid w:val="004E141A"/>
    <w:rsid w:val="004E196A"/>
    <w:rsid w:val="004E424B"/>
    <w:rsid w:val="004E71FE"/>
    <w:rsid w:val="004F24D0"/>
    <w:rsid w:val="00501BB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57817"/>
    <w:rsid w:val="005606FD"/>
    <w:rsid w:val="00565A52"/>
    <w:rsid w:val="00566AD8"/>
    <w:rsid w:val="00570B86"/>
    <w:rsid w:val="005732EB"/>
    <w:rsid w:val="005803BF"/>
    <w:rsid w:val="00582FAD"/>
    <w:rsid w:val="00585F7E"/>
    <w:rsid w:val="00594ABF"/>
    <w:rsid w:val="005A11E6"/>
    <w:rsid w:val="005A12D2"/>
    <w:rsid w:val="005A2484"/>
    <w:rsid w:val="005A6A61"/>
    <w:rsid w:val="005B0968"/>
    <w:rsid w:val="005B207E"/>
    <w:rsid w:val="005B2484"/>
    <w:rsid w:val="005B3871"/>
    <w:rsid w:val="005B659D"/>
    <w:rsid w:val="005B6B98"/>
    <w:rsid w:val="005C1326"/>
    <w:rsid w:val="005C3527"/>
    <w:rsid w:val="005C4B02"/>
    <w:rsid w:val="005E62D6"/>
    <w:rsid w:val="005F0FBF"/>
    <w:rsid w:val="006014A0"/>
    <w:rsid w:val="00603F83"/>
    <w:rsid w:val="00614971"/>
    <w:rsid w:val="00627218"/>
    <w:rsid w:val="0063266C"/>
    <w:rsid w:val="006355D1"/>
    <w:rsid w:val="00635DD4"/>
    <w:rsid w:val="00637337"/>
    <w:rsid w:val="00637692"/>
    <w:rsid w:val="0064704A"/>
    <w:rsid w:val="00654F18"/>
    <w:rsid w:val="00655593"/>
    <w:rsid w:val="006916AD"/>
    <w:rsid w:val="00694B4F"/>
    <w:rsid w:val="006A118D"/>
    <w:rsid w:val="006A3972"/>
    <w:rsid w:val="006A712D"/>
    <w:rsid w:val="006C287E"/>
    <w:rsid w:val="006C7ABB"/>
    <w:rsid w:val="006D27A6"/>
    <w:rsid w:val="006D354F"/>
    <w:rsid w:val="006D3EE7"/>
    <w:rsid w:val="006D6960"/>
    <w:rsid w:val="006E101D"/>
    <w:rsid w:val="006E6F8C"/>
    <w:rsid w:val="006E76BE"/>
    <w:rsid w:val="006F0918"/>
    <w:rsid w:val="006F56A2"/>
    <w:rsid w:val="006F6E04"/>
    <w:rsid w:val="00705AD6"/>
    <w:rsid w:val="00717216"/>
    <w:rsid w:val="00722F56"/>
    <w:rsid w:val="007343B8"/>
    <w:rsid w:val="00736715"/>
    <w:rsid w:val="00755696"/>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C5374"/>
    <w:rsid w:val="007D4EB7"/>
    <w:rsid w:val="007D6F47"/>
    <w:rsid w:val="007E013D"/>
    <w:rsid w:val="007E0975"/>
    <w:rsid w:val="007E36E4"/>
    <w:rsid w:val="007E5E07"/>
    <w:rsid w:val="007E7046"/>
    <w:rsid w:val="007F53C0"/>
    <w:rsid w:val="007F61E3"/>
    <w:rsid w:val="00812D06"/>
    <w:rsid w:val="008139FB"/>
    <w:rsid w:val="00831D8A"/>
    <w:rsid w:val="00844032"/>
    <w:rsid w:val="00847719"/>
    <w:rsid w:val="00851220"/>
    <w:rsid w:val="008518C9"/>
    <w:rsid w:val="008616B9"/>
    <w:rsid w:val="0088159C"/>
    <w:rsid w:val="0088211A"/>
    <w:rsid w:val="00884758"/>
    <w:rsid w:val="00884F56"/>
    <w:rsid w:val="008854F6"/>
    <w:rsid w:val="00886667"/>
    <w:rsid w:val="00886BC4"/>
    <w:rsid w:val="008972E4"/>
    <w:rsid w:val="008A02F3"/>
    <w:rsid w:val="008A1C1D"/>
    <w:rsid w:val="008A48CA"/>
    <w:rsid w:val="008A6918"/>
    <w:rsid w:val="008B2938"/>
    <w:rsid w:val="008B395C"/>
    <w:rsid w:val="008B50BB"/>
    <w:rsid w:val="008C5773"/>
    <w:rsid w:val="008C69CB"/>
    <w:rsid w:val="008D0CA6"/>
    <w:rsid w:val="008D4CD0"/>
    <w:rsid w:val="008D5358"/>
    <w:rsid w:val="008E0180"/>
    <w:rsid w:val="008E04BD"/>
    <w:rsid w:val="008E0FAB"/>
    <w:rsid w:val="008E35A5"/>
    <w:rsid w:val="008F0B15"/>
    <w:rsid w:val="008F1AA6"/>
    <w:rsid w:val="008F2068"/>
    <w:rsid w:val="008F2212"/>
    <w:rsid w:val="008F73C8"/>
    <w:rsid w:val="008F7E69"/>
    <w:rsid w:val="00903786"/>
    <w:rsid w:val="00903AB2"/>
    <w:rsid w:val="00904C61"/>
    <w:rsid w:val="00905F29"/>
    <w:rsid w:val="0090719E"/>
    <w:rsid w:val="009109AA"/>
    <w:rsid w:val="009115C0"/>
    <w:rsid w:val="00914C15"/>
    <w:rsid w:val="00926879"/>
    <w:rsid w:val="00933C8C"/>
    <w:rsid w:val="009367F6"/>
    <w:rsid w:val="0093741D"/>
    <w:rsid w:val="00942CB3"/>
    <w:rsid w:val="00944174"/>
    <w:rsid w:val="00951652"/>
    <w:rsid w:val="00952F2F"/>
    <w:rsid w:val="00965C4B"/>
    <w:rsid w:val="00972A4C"/>
    <w:rsid w:val="009757BB"/>
    <w:rsid w:val="0098151F"/>
    <w:rsid w:val="00986A46"/>
    <w:rsid w:val="009906A6"/>
    <w:rsid w:val="00992ADC"/>
    <w:rsid w:val="009A6D32"/>
    <w:rsid w:val="009A6EA6"/>
    <w:rsid w:val="009A71C4"/>
    <w:rsid w:val="009B15EC"/>
    <w:rsid w:val="009B1781"/>
    <w:rsid w:val="009B2546"/>
    <w:rsid w:val="009B464D"/>
    <w:rsid w:val="009C1F90"/>
    <w:rsid w:val="009C66A3"/>
    <w:rsid w:val="009D616A"/>
    <w:rsid w:val="009E5BCF"/>
    <w:rsid w:val="009E6061"/>
    <w:rsid w:val="009F090D"/>
    <w:rsid w:val="00A01086"/>
    <w:rsid w:val="00A05E57"/>
    <w:rsid w:val="00A1120D"/>
    <w:rsid w:val="00A13CB3"/>
    <w:rsid w:val="00A13F0D"/>
    <w:rsid w:val="00A15DB7"/>
    <w:rsid w:val="00A17503"/>
    <w:rsid w:val="00A215B3"/>
    <w:rsid w:val="00A24B57"/>
    <w:rsid w:val="00A24D20"/>
    <w:rsid w:val="00A30D35"/>
    <w:rsid w:val="00A32C4E"/>
    <w:rsid w:val="00A3452B"/>
    <w:rsid w:val="00A461D5"/>
    <w:rsid w:val="00A46A9A"/>
    <w:rsid w:val="00A50111"/>
    <w:rsid w:val="00A52C22"/>
    <w:rsid w:val="00A60022"/>
    <w:rsid w:val="00A60994"/>
    <w:rsid w:val="00A6514E"/>
    <w:rsid w:val="00A66EB6"/>
    <w:rsid w:val="00A82F48"/>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1F34"/>
    <w:rsid w:val="00B24C1C"/>
    <w:rsid w:val="00B32830"/>
    <w:rsid w:val="00B42FAF"/>
    <w:rsid w:val="00B50FEA"/>
    <w:rsid w:val="00B51175"/>
    <w:rsid w:val="00B5397C"/>
    <w:rsid w:val="00B53A17"/>
    <w:rsid w:val="00B54FA9"/>
    <w:rsid w:val="00B57B0B"/>
    <w:rsid w:val="00B64308"/>
    <w:rsid w:val="00B71F74"/>
    <w:rsid w:val="00B73C23"/>
    <w:rsid w:val="00B771FF"/>
    <w:rsid w:val="00B82C45"/>
    <w:rsid w:val="00B83781"/>
    <w:rsid w:val="00BA054F"/>
    <w:rsid w:val="00BA123B"/>
    <w:rsid w:val="00BA3721"/>
    <w:rsid w:val="00BA7802"/>
    <w:rsid w:val="00BB059B"/>
    <w:rsid w:val="00BB4B21"/>
    <w:rsid w:val="00BC09B3"/>
    <w:rsid w:val="00BC7D68"/>
    <w:rsid w:val="00BD3C26"/>
    <w:rsid w:val="00BD7EA0"/>
    <w:rsid w:val="00BE049C"/>
    <w:rsid w:val="00BE2210"/>
    <w:rsid w:val="00BE5AC7"/>
    <w:rsid w:val="00BF3C23"/>
    <w:rsid w:val="00BF3E58"/>
    <w:rsid w:val="00BF4A8E"/>
    <w:rsid w:val="00BF73E4"/>
    <w:rsid w:val="00BF75D8"/>
    <w:rsid w:val="00C0628D"/>
    <w:rsid w:val="00C23C8C"/>
    <w:rsid w:val="00C3042D"/>
    <w:rsid w:val="00C362B7"/>
    <w:rsid w:val="00C3693F"/>
    <w:rsid w:val="00C37A6A"/>
    <w:rsid w:val="00C41C4D"/>
    <w:rsid w:val="00C436B8"/>
    <w:rsid w:val="00C443D7"/>
    <w:rsid w:val="00C46281"/>
    <w:rsid w:val="00C620FD"/>
    <w:rsid w:val="00C639E4"/>
    <w:rsid w:val="00C71CED"/>
    <w:rsid w:val="00C778C6"/>
    <w:rsid w:val="00C80C62"/>
    <w:rsid w:val="00C82A8A"/>
    <w:rsid w:val="00C8634C"/>
    <w:rsid w:val="00C87E56"/>
    <w:rsid w:val="00CA168B"/>
    <w:rsid w:val="00CA4694"/>
    <w:rsid w:val="00CB032B"/>
    <w:rsid w:val="00CB0554"/>
    <w:rsid w:val="00CC1136"/>
    <w:rsid w:val="00CC5606"/>
    <w:rsid w:val="00CD02A5"/>
    <w:rsid w:val="00CD75B9"/>
    <w:rsid w:val="00CD7F0B"/>
    <w:rsid w:val="00CF1EA3"/>
    <w:rsid w:val="00CF4552"/>
    <w:rsid w:val="00CF5A2D"/>
    <w:rsid w:val="00D044DC"/>
    <w:rsid w:val="00D05A02"/>
    <w:rsid w:val="00D0725D"/>
    <w:rsid w:val="00D11F38"/>
    <w:rsid w:val="00D11F49"/>
    <w:rsid w:val="00D17467"/>
    <w:rsid w:val="00D2150F"/>
    <w:rsid w:val="00D215DF"/>
    <w:rsid w:val="00D225FF"/>
    <w:rsid w:val="00D33E3B"/>
    <w:rsid w:val="00D40B85"/>
    <w:rsid w:val="00D535AC"/>
    <w:rsid w:val="00D555C7"/>
    <w:rsid w:val="00D56210"/>
    <w:rsid w:val="00D566F4"/>
    <w:rsid w:val="00D60855"/>
    <w:rsid w:val="00D61C4F"/>
    <w:rsid w:val="00D621F5"/>
    <w:rsid w:val="00D81F86"/>
    <w:rsid w:val="00D84DEB"/>
    <w:rsid w:val="00DA137E"/>
    <w:rsid w:val="00DB248B"/>
    <w:rsid w:val="00DC075C"/>
    <w:rsid w:val="00DC6FBB"/>
    <w:rsid w:val="00DD3940"/>
    <w:rsid w:val="00DD5D38"/>
    <w:rsid w:val="00DE05FE"/>
    <w:rsid w:val="00DE46CC"/>
    <w:rsid w:val="00DE5EE8"/>
    <w:rsid w:val="00DE74EC"/>
    <w:rsid w:val="00DF0B01"/>
    <w:rsid w:val="00DF56B6"/>
    <w:rsid w:val="00DF5A46"/>
    <w:rsid w:val="00E10B5B"/>
    <w:rsid w:val="00E11105"/>
    <w:rsid w:val="00E16939"/>
    <w:rsid w:val="00E1766A"/>
    <w:rsid w:val="00E267E6"/>
    <w:rsid w:val="00E34501"/>
    <w:rsid w:val="00E35B8F"/>
    <w:rsid w:val="00E35BC6"/>
    <w:rsid w:val="00E40078"/>
    <w:rsid w:val="00E4461B"/>
    <w:rsid w:val="00E4520C"/>
    <w:rsid w:val="00E5429E"/>
    <w:rsid w:val="00E62B01"/>
    <w:rsid w:val="00E64B67"/>
    <w:rsid w:val="00E669CD"/>
    <w:rsid w:val="00E70A2C"/>
    <w:rsid w:val="00E81A92"/>
    <w:rsid w:val="00E83A1D"/>
    <w:rsid w:val="00E847A7"/>
    <w:rsid w:val="00E85FF2"/>
    <w:rsid w:val="00E86CBA"/>
    <w:rsid w:val="00E90E39"/>
    <w:rsid w:val="00E93C25"/>
    <w:rsid w:val="00EA43EC"/>
    <w:rsid w:val="00EA5D8D"/>
    <w:rsid w:val="00EB1557"/>
    <w:rsid w:val="00EC2A56"/>
    <w:rsid w:val="00ED3522"/>
    <w:rsid w:val="00EE570F"/>
    <w:rsid w:val="00EE5F89"/>
    <w:rsid w:val="00EF1B2D"/>
    <w:rsid w:val="00EF6EBE"/>
    <w:rsid w:val="00F00A9F"/>
    <w:rsid w:val="00F0196A"/>
    <w:rsid w:val="00F07B2D"/>
    <w:rsid w:val="00F172EE"/>
    <w:rsid w:val="00F22FC2"/>
    <w:rsid w:val="00F248B6"/>
    <w:rsid w:val="00F31637"/>
    <w:rsid w:val="00F33B9F"/>
    <w:rsid w:val="00F41932"/>
    <w:rsid w:val="00F44C22"/>
    <w:rsid w:val="00F4789A"/>
    <w:rsid w:val="00F51C00"/>
    <w:rsid w:val="00F51FDE"/>
    <w:rsid w:val="00F57632"/>
    <w:rsid w:val="00F61364"/>
    <w:rsid w:val="00F614C4"/>
    <w:rsid w:val="00F61E2F"/>
    <w:rsid w:val="00F63511"/>
    <w:rsid w:val="00F7256C"/>
    <w:rsid w:val="00F75A59"/>
    <w:rsid w:val="00F7650A"/>
    <w:rsid w:val="00F95DDF"/>
    <w:rsid w:val="00F96108"/>
    <w:rsid w:val="00F97D4A"/>
    <w:rsid w:val="00FA3D7F"/>
    <w:rsid w:val="00FA70A7"/>
    <w:rsid w:val="00FB5337"/>
    <w:rsid w:val="00FB7AEB"/>
    <w:rsid w:val="00FC2874"/>
    <w:rsid w:val="00FC2E34"/>
    <w:rsid w:val="00FC3480"/>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15:docId w15:val="{4662B1C7-019E-430A-8A8E-A4523493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EF6EBE"/>
    <w:pPr>
      <w:spacing w:after="0"/>
      <w:ind w:left="284" w:hanging="284"/>
    </w:pPr>
    <w:rPr>
      <w:sz w:val="20"/>
    </w:rPr>
  </w:style>
  <w:style w:type="character" w:customStyle="1" w:styleId="FootnoteTextChar">
    <w:name w:val="Footnote Text Char"/>
    <w:basedOn w:val="DefaultParagraphFont"/>
    <w:link w:val="FootnoteText"/>
    <w:uiPriority w:val="99"/>
    <w:rsid w:val="00EF6EBE"/>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1"/>
    <w:qFormat/>
    <w:rsid w:val="00EF6EBE"/>
    <w:pPr>
      <w:ind w:left="720"/>
    </w:pPr>
  </w:style>
  <w:style w:type="character" w:customStyle="1" w:styleId="ListParagraphChar">
    <w:name w:val="List Paragraph Char"/>
    <w:aliases w:val="List Bullet Cab Char,CAB - List Bullet Char"/>
    <w:basedOn w:val="DefaultParagraphFont"/>
    <w:link w:val="ListParagraph"/>
    <w:uiPriority w:val="34"/>
    <w:rsid w:val="00EF6EBE"/>
    <w:rPr>
      <w:rFonts w:ascii="Calibri Light" w:eastAsia="Times New Roman" w:hAnsi="Calibri Light"/>
      <w:sz w:val="22"/>
      <w:lang w:eastAsia="en-AU"/>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7"/>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7"/>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7"/>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3715C7"/>
    <w:pPr>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972A4C"/>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 w:type="paragraph" w:styleId="Title">
    <w:name w:val="Title"/>
    <w:basedOn w:val="Normal"/>
    <w:next w:val="Normal"/>
    <w:link w:val="TitleChar"/>
    <w:uiPriority w:val="10"/>
    <w:qFormat/>
    <w:rsid w:val="00904C6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61"/>
    <w:rPr>
      <w:rFonts w:asciiTheme="majorHAnsi" w:eastAsiaTheme="majorEastAsia" w:hAnsiTheme="majorHAnsi" w:cstheme="majorBidi"/>
      <w:spacing w:val="-10"/>
      <w:kern w:val="28"/>
      <w:sz w:val="56"/>
      <w:szCs w:val="56"/>
      <w:lang w:eastAsia="en-AU"/>
    </w:rPr>
  </w:style>
  <w:style w:type="paragraph" w:styleId="TableofAuthorities">
    <w:name w:val="table of authorities"/>
    <w:basedOn w:val="Normal"/>
    <w:next w:val="Normal"/>
    <w:uiPriority w:val="99"/>
    <w:unhideWhenUsed/>
    <w:rsid w:val="00904C61"/>
    <w:pPr>
      <w:spacing w:before="0" w:after="0"/>
      <w:ind w:left="240" w:hanging="240"/>
    </w:pPr>
    <w:rPr>
      <w:rFonts w:ascii="Calibri" w:hAnsi="Calibri"/>
      <w:color w:val="000000" w:themeColor="text1"/>
      <w:sz w:val="24"/>
      <w:szCs w:val="24"/>
    </w:rPr>
  </w:style>
  <w:style w:type="paragraph" w:styleId="BodyText">
    <w:name w:val="Body Text"/>
    <w:basedOn w:val="Normal"/>
    <w:link w:val="BodyTextChar"/>
    <w:uiPriority w:val="1"/>
    <w:qFormat/>
    <w:rsid w:val="009E5BCF"/>
    <w:pPr>
      <w:widowControl w:val="0"/>
      <w:autoSpaceDE w:val="0"/>
      <w:autoSpaceDN w:val="0"/>
      <w:spacing w:before="0" w:after="0"/>
    </w:pPr>
    <w:rPr>
      <w:rFonts w:eastAsia="Calibri Light" w:cs="Calibri Light"/>
      <w:sz w:val="18"/>
      <w:szCs w:val="18"/>
      <w:lang w:val="en-US" w:eastAsia="en-US"/>
    </w:rPr>
  </w:style>
  <w:style w:type="character" w:customStyle="1" w:styleId="BodyTextChar">
    <w:name w:val="Body Text Char"/>
    <w:basedOn w:val="DefaultParagraphFont"/>
    <w:link w:val="BodyText"/>
    <w:uiPriority w:val="1"/>
    <w:rsid w:val="009E5BCF"/>
    <w:rPr>
      <w:rFonts w:ascii="Calibri Light" w:eastAsia="Calibri Light" w:hAnsi="Calibri Light" w:cs="Calibri Ligh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foreigninvestment.gov.au/compliance/approa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rb.gov.au/sites/firb.gov.au/files/2021-01/FIRB_compliance_framewor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eigninvestment.gov.au/compliance/obligations" TargetMode="External"/><Relationship Id="rId20" Type="http://schemas.openxmlformats.org/officeDocument/2006/relationships/hyperlink" Target="https://www.foreigninvestment.gov.au/compliance/oblig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foreigninvestment.gov.au/compliance/notification-actions"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foreigninvestment.gov.au/compliance/notification-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online-services/foreign-investors/online-services-for-foreign-investor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4250" ma:contentTypeDescription=" " ma:contentTypeScope="" ma:versionID="bd1786d737f09ae1be9123c5e55d1b1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26</Value>
    </TaxCatchAll>
    <_dlc_DocId xmlns="0f563589-9cf9-4143-b1eb-fb0534803d38">2020FG-73-20905</_dlc_DocId>
    <_dlc_DocIdUrl xmlns="0f563589-9cf9-4143-b1eb-fb0534803d38">
      <Url>http://tweb/sites/fg/spd/_layouts/15/DocIdRedir.aspx?ID=2020FG-73-20905</Url>
      <Description>2020FG-73-20905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n748a1c17def4c93b413435c48ea6417 xmlns="e544e5cc-ab70-42e1-849e-1a0f8bb1f4ef">
      <Terms xmlns="http://schemas.microsoft.com/office/infopath/2007/PartnerControls"/>
    </n748a1c17def4c93b413435c48ea6417>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2.xml><?xml version="1.0" encoding="utf-8"?>
<ds:datastoreItem xmlns:ds="http://schemas.openxmlformats.org/officeDocument/2006/customXml" ds:itemID="{FB0C6652-78A8-4495-8962-7732FB70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E7603-D915-4C6C-A387-885761BD2B85}">
  <ds:schemaRefs>
    <ds:schemaRef ds:uri="http://schemas.microsoft.com/sharepoint/events"/>
  </ds:schemaRefs>
</ds:datastoreItem>
</file>

<file path=customXml/itemProps4.xml><?xml version="1.0" encoding="utf-8"?>
<ds:datastoreItem xmlns:ds="http://schemas.openxmlformats.org/officeDocument/2006/customXml" ds:itemID="{07260597-80F9-4572-9C2B-FCBB8C38B2F1}">
  <ds:schemaRefs>
    <ds:schemaRef ds:uri="office.server.policy"/>
  </ds:schemaRefs>
</ds:datastoreItem>
</file>

<file path=customXml/itemProps5.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0f563589-9cf9-4143-b1eb-fb0534803d38"/>
    <ds:schemaRef ds:uri="e544e5cc-ab70-42e1-849e-1a0f8bb1f4ef"/>
    <ds:schemaRef ds:uri="http://schemas.microsoft.com/sharepoint/v4"/>
  </ds:schemaRefs>
</ds:datastoreItem>
</file>

<file path=customXml/itemProps6.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Factsheet.dotx</Template>
  <TotalTime>6</TotalTime>
  <Pages>4</Pages>
  <Words>1028</Words>
  <Characters>5841</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Treasury Corporate Factsheet</vt:lpstr>
    </vt:vector>
  </TitlesOfParts>
  <Company>Australian Government - The Treasury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Corporate Factsheet</dc:title>
  <dc:subject/>
  <dc:creator>The Treasury</dc:creator>
  <cp:keywords/>
  <dc:description/>
  <cp:lastModifiedBy>Keogh, Vicky</cp:lastModifiedBy>
  <cp:revision>5</cp:revision>
  <cp:lastPrinted>2021-10-20T03:15:00Z</cp:lastPrinted>
  <dcterms:created xsi:type="dcterms:W3CDTF">2023-06-18T07:19:00Z</dcterms:created>
  <dcterms:modified xsi:type="dcterms:W3CDTF">2023-06-18T07:19:00Z</dcterms:modified>
  <cp:category/>
</cp:coreProperties>
</file>